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3" w:rsidRPr="008818CB" w:rsidRDefault="009F6633" w:rsidP="009F6633">
      <w:pPr>
        <w:spacing w:after="0" w:line="240" w:lineRule="auto"/>
        <w:jc w:val="center"/>
        <w:rPr>
          <w:rFonts w:ascii="Times New Roman" w:eastAsia="BatangChe" w:hAnsi="Times New Roman" w:cs="Times New Roman"/>
          <w:b/>
          <w:kern w:val="144"/>
          <w:position w:val="6"/>
          <w:sz w:val="28"/>
          <w:szCs w:val="28"/>
        </w:rPr>
      </w:pPr>
      <w:r w:rsidRPr="008818CB">
        <w:rPr>
          <w:rFonts w:ascii="Times New Roman" w:eastAsia="BatangChe" w:hAnsi="Times New Roman" w:cs="Times New Roman"/>
          <w:b/>
          <w:kern w:val="144"/>
          <w:position w:val="6"/>
          <w:sz w:val="28"/>
          <w:szCs w:val="28"/>
        </w:rPr>
        <w:t>THE REPUBLIC OF UGANDA</w:t>
      </w:r>
    </w:p>
    <w:p w:rsidR="009F6633" w:rsidRPr="008818CB" w:rsidRDefault="009F6633" w:rsidP="009F6633">
      <w:pPr>
        <w:spacing w:after="0" w:line="240" w:lineRule="auto"/>
        <w:jc w:val="center"/>
        <w:rPr>
          <w:rFonts w:ascii="Times New Roman" w:eastAsia="BatangChe" w:hAnsi="Times New Roman" w:cs="Times New Roman"/>
          <w:b/>
          <w:kern w:val="144"/>
          <w:position w:val="6"/>
          <w:sz w:val="28"/>
          <w:szCs w:val="28"/>
        </w:rPr>
      </w:pPr>
      <w:r w:rsidRPr="008818CB">
        <w:rPr>
          <w:rFonts w:ascii="Times New Roman" w:eastAsia="BatangChe" w:hAnsi="Times New Roman" w:cs="Times New Roman"/>
          <w:b/>
          <w:kern w:val="144"/>
          <w:position w:val="6"/>
          <w:sz w:val="28"/>
          <w:szCs w:val="28"/>
        </w:rPr>
        <w:t>IN THE SUPREME COURT OF UGANDA</w:t>
      </w:r>
    </w:p>
    <w:p w:rsidR="009F6633" w:rsidRPr="008818CB" w:rsidRDefault="009F6633" w:rsidP="009F6633">
      <w:pPr>
        <w:spacing w:after="0" w:line="240" w:lineRule="auto"/>
        <w:jc w:val="center"/>
        <w:rPr>
          <w:rFonts w:ascii="Times New Roman" w:eastAsia="BatangChe" w:hAnsi="Times New Roman" w:cs="Times New Roman"/>
          <w:b/>
          <w:kern w:val="144"/>
          <w:position w:val="6"/>
          <w:sz w:val="28"/>
          <w:szCs w:val="28"/>
        </w:rPr>
      </w:pPr>
      <w:r w:rsidRPr="008818CB">
        <w:rPr>
          <w:rFonts w:ascii="Times New Roman" w:eastAsia="BatangChe" w:hAnsi="Times New Roman" w:cs="Times New Roman"/>
          <w:b/>
          <w:kern w:val="144"/>
          <w:position w:val="6"/>
          <w:sz w:val="28"/>
          <w:szCs w:val="28"/>
        </w:rPr>
        <w:t>AT KAMPALA</w:t>
      </w:r>
    </w:p>
    <w:p w:rsidR="009F6633" w:rsidRPr="008818CB" w:rsidRDefault="009F6633" w:rsidP="009F6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33" w:rsidRPr="008818CB" w:rsidRDefault="009F6633" w:rsidP="009F6633">
      <w:pPr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r w:rsidRPr="008818CB">
        <w:rPr>
          <w:rFonts w:ascii="Times New Roman" w:hAnsi="Times New Roman" w:cs="Times New Roman"/>
          <w:i/>
          <w:spacing w:val="-16"/>
          <w:sz w:val="28"/>
          <w:szCs w:val="28"/>
        </w:rPr>
        <w:t>[Coram:    Odoki, CJ., Tsekooko,  K</w:t>
      </w:r>
      <w:r w:rsidR="00497BF9" w:rsidRPr="008818CB">
        <w:rPr>
          <w:rFonts w:ascii="Times New Roman" w:hAnsi="Times New Roman" w:cs="Times New Roman"/>
          <w:i/>
          <w:spacing w:val="-16"/>
          <w:sz w:val="28"/>
          <w:szCs w:val="28"/>
        </w:rPr>
        <w:t xml:space="preserve">atureebe, </w:t>
      </w:r>
      <w:r w:rsidRPr="008818CB">
        <w:rPr>
          <w:rFonts w:ascii="Times New Roman" w:hAnsi="Times New Roman" w:cs="Times New Roman"/>
          <w:i/>
          <w:spacing w:val="-16"/>
          <w:sz w:val="28"/>
          <w:szCs w:val="28"/>
        </w:rPr>
        <w:t>Tumwesigye &amp; Kisaakye, JJSC.]</w:t>
      </w:r>
    </w:p>
    <w:p w:rsidR="009F6633" w:rsidRPr="008818CB" w:rsidRDefault="009F6633" w:rsidP="009F6633">
      <w:pPr>
        <w:spacing w:after="0" w:line="240" w:lineRule="auto"/>
        <w:jc w:val="both"/>
        <w:rPr>
          <w:rFonts w:ascii="Times New Roman" w:hAnsi="Times New Roman" w:cs="Times New Roman"/>
          <w:i/>
          <w:spacing w:val="-20"/>
          <w:sz w:val="28"/>
          <w:szCs w:val="28"/>
        </w:rPr>
      </w:pPr>
    </w:p>
    <w:p w:rsidR="009F6633" w:rsidRPr="008818CB" w:rsidRDefault="00497BF9" w:rsidP="009F6633">
      <w:pPr>
        <w:spacing w:after="0" w:line="240" w:lineRule="auto"/>
        <w:jc w:val="center"/>
        <w:rPr>
          <w:rFonts w:ascii="Times New Roman" w:hAnsi="Times New Roman" w:cs="Times New Roman"/>
          <w:i/>
          <w:spacing w:val="-30"/>
          <w:w w:val="80"/>
          <w:sz w:val="28"/>
          <w:szCs w:val="28"/>
        </w:rPr>
      </w:pPr>
      <w:r w:rsidRPr="008818CB">
        <w:rPr>
          <w:rFonts w:ascii="Times New Roman" w:hAnsi="Times New Roman" w:cs="Times New Roman"/>
          <w:i/>
          <w:spacing w:val="-30"/>
          <w:w w:val="80"/>
          <w:sz w:val="28"/>
          <w:szCs w:val="28"/>
        </w:rPr>
        <w:t>Civil Appeal No. 13 of 2010</w:t>
      </w:r>
    </w:p>
    <w:p w:rsidR="009F6633" w:rsidRPr="008818CB" w:rsidRDefault="009F6633" w:rsidP="009F6633">
      <w:pPr>
        <w:spacing w:after="0" w:line="240" w:lineRule="auto"/>
        <w:jc w:val="center"/>
        <w:rPr>
          <w:rFonts w:ascii="Times New Roman" w:hAnsi="Times New Roman" w:cs="Times New Roman"/>
          <w:i/>
          <w:spacing w:val="-20"/>
          <w:sz w:val="28"/>
          <w:szCs w:val="28"/>
        </w:rPr>
      </w:pPr>
    </w:p>
    <w:p w:rsidR="009F6633" w:rsidRPr="008818CB" w:rsidRDefault="009F6633" w:rsidP="009F6633">
      <w:pPr>
        <w:spacing w:after="0" w:line="240" w:lineRule="auto"/>
        <w:jc w:val="center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8818CB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                                      </w:t>
      </w:r>
    </w:p>
    <w:p w:rsidR="009F6633" w:rsidRPr="008818CB" w:rsidRDefault="009F6633" w:rsidP="009F6633">
      <w:pPr>
        <w:spacing w:after="0"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818CB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                                 </w:t>
      </w:r>
    </w:p>
    <w:p w:rsidR="009F6633" w:rsidRPr="008818CB" w:rsidRDefault="00497BF9" w:rsidP="00497BF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818CB">
        <w:rPr>
          <w:rFonts w:ascii="Times New Roman" w:hAnsi="Times New Roman" w:cs="Times New Roman"/>
          <w:spacing w:val="-20"/>
          <w:sz w:val="28"/>
          <w:szCs w:val="28"/>
        </w:rPr>
        <w:t>GIULIANO GARIGGIO</w:t>
      </w:r>
      <w:r w:rsidR="002A5884"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C34FFA"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</w:t>
      </w:r>
      <w:r w:rsidR="00C34FFA" w:rsidRPr="008818CB">
        <w:rPr>
          <w:rFonts w:ascii="Times New Roman" w:hAnsi="Times New Roman" w:cs="Times New Roman"/>
          <w:b/>
          <w:spacing w:val="-40"/>
          <w:w w:val="80"/>
          <w:sz w:val="28"/>
          <w:szCs w:val="28"/>
        </w:rPr>
        <w:t>:::::::::::::::::::::::::::::::::::::::::::::::::::::::::::::::::::::::::::::::::::::::::::::::::::::</w:t>
      </w:r>
      <w:r w:rsidR="008818CB" w:rsidRPr="008818CB">
        <w:rPr>
          <w:rFonts w:ascii="Times New Roman" w:hAnsi="Times New Roman" w:cs="Times New Roman"/>
          <w:b/>
          <w:spacing w:val="-40"/>
          <w:w w:val="80"/>
          <w:sz w:val="28"/>
          <w:szCs w:val="28"/>
        </w:rPr>
        <w:t>:::::::::::::::::::::::::::::::::::</w:t>
      </w:r>
      <w:r w:rsidR="009F6633"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9F6633" w:rsidRPr="008818CB">
        <w:rPr>
          <w:rFonts w:ascii="Times New Roman" w:hAnsi="Times New Roman" w:cs="Times New Roman"/>
          <w:spacing w:val="-20"/>
          <w:sz w:val="28"/>
          <w:szCs w:val="28"/>
        </w:rPr>
        <w:t>APPELLANT</w:t>
      </w:r>
    </w:p>
    <w:p w:rsidR="009F6633" w:rsidRPr="008818CB" w:rsidRDefault="009F6633" w:rsidP="009F6633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20"/>
          <w:w w:val="90"/>
          <w:sz w:val="28"/>
          <w:szCs w:val="28"/>
        </w:rPr>
      </w:pPr>
      <w:r w:rsidRPr="008818CB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="00C34FFA" w:rsidRPr="008818CB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    </w:t>
      </w:r>
      <w:r w:rsidR="00497BF9" w:rsidRPr="008818CB">
        <w:rPr>
          <w:rFonts w:ascii="Times New Roman" w:hAnsi="Times New Roman" w:cs="Times New Roman"/>
          <w:b/>
          <w:i/>
          <w:spacing w:val="-20"/>
          <w:w w:val="90"/>
          <w:sz w:val="28"/>
          <w:szCs w:val="28"/>
        </w:rPr>
        <w:t>Versus</w:t>
      </w:r>
    </w:p>
    <w:p w:rsidR="009F6633" w:rsidRPr="008818CB" w:rsidRDefault="000C1705" w:rsidP="009F6633">
      <w:p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818CB">
        <w:rPr>
          <w:rFonts w:ascii="Times New Roman" w:hAnsi="Times New Roman" w:cs="Times New Roman"/>
          <w:spacing w:val="-20"/>
          <w:sz w:val="28"/>
          <w:szCs w:val="28"/>
        </w:rPr>
        <w:t xml:space="preserve">GLAUDIO </w:t>
      </w:r>
      <w:r w:rsidR="00497BF9" w:rsidRPr="008818CB">
        <w:rPr>
          <w:rFonts w:ascii="Times New Roman" w:hAnsi="Times New Roman" w:cs="Times New Roman"/>
          <w:spacing w:val="-20"/>
          <w:sz w:val="28"/>
          <w:szCs w:val="28"/>
        </w:rPr>
        <w:t>CASADIO</w:t>
      </w:r>
      <w:r w:rsidR="009F6633"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</w:t>
      </w:r>
      <w:r w:rsidR="00C34FFA"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</w:t>
      </w:r>
      <w:r w:rsidRPr="008818CB">
        <w:rPr>
          <w:rFonts w:ascii="Times New Roman" w:hAnsi="Times New Roman" w:cs="Times New Roman"/>
          <w:b/>
          <w:spacing w:val="-40"/>
          <w:w w:val="80"/>
          <w:sz w:val="28"/>
          <w:szCs w:val="28"/>
        </w:rPr>
        <w:t>::::::::::::::::::::::::::::::::::::</w:t>
      </w:r>
      <w:r w:rsidR="00C34FFA" w:rsidRPr="008818CB">
        <w:rPr>
          <w:rFonts w:ascii="Times New Roman" w:hAnsi="Times New Roman" w:cs="Times New Roman"/>
          <w:b/>
          <w:spacing w:val="-40"/>
          <w:w w:val="80"/>
          <w:sz w:val="28"/>
          <w:szCs w:val="28"/>
        </w:rPr>
        <w:t>::::::::::::::::::::::::::::::::</w:t>
      </w:r>
      <w:r w:rsidR="008818CB" w:rsidRPr="008818CB">
        <w:rPr>
          <w:rFonts w:ascii="Times New Roman" w:hAnsi="Times New Roman" w:cs="Times New Roman"/>
          <w:b/>
          <w:spacing w:val="-40"/>
          <w:w w:val="80"/>
          <w:sz w:val="28"/>
          <w:szCs w:val="28"/>
        </w:rPr>
        <w:t>:::::::::::::::::::::::::::::::::::::::::::::::::::::::::</w:t>
      </w:r>
      <w:r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C34FFA" w:rsidRPr="008818C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561F79" w:rsidRPr="008818CB">
        <w:rPr>
          <w:rFonts w:ascii="Times New Roman" w:hAnsi="Times New Roman" w:cs="Times New Roman"/>
          <w:spacing w:val="-20"/>
          <w:sz w:val="28"/>
          <w:szCs w:val="28"/>
        </w:rPr>
        <w:t>RESPONDENT</w:t>
      </w:r>
    </w:p>
    <w:p w:rsidR="009F6633" w:rsidRPr="008818CB" w:rsidRDefault="009F6633" w:rsidP="009F6633">
      <w:pPr>
        <w:spacing w:after="0" w:line="240" w:lineRule="auto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F6633" w:rsidRPr="008818CB" w:rsidRDefault="009F6633" w:rsidP="009F6633">
      <w:pPr>
        <w:spacing w:after="0" w:line="240" w:lineRule="auto"/>
        <w:jc w:val="both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8818CB">
        <w:rPr>
          <w:rFonts w:ascii="Times New Roman" w:hAnsi="Times New Roman" w:cs="Times New Roman"/>
          <w:i/>
          <w:spacing w:val="-20"/>
          <w:sz w:val="28"/>
          <w:szCs w:val="28"/>
        </w:rPr>
        <w:t>{Appeal from the decision of the Court of Appeal at Kampala (</w:t>
      </w:r>
      <w:r w:rsidR="003569CB" w:rsidRPr="008818CB">
        <w:rPr>
          <w:rFonts w:ascii="Times New Roman" w:hAnsi="Times New Roman" w:cs="Times New Roman"/>
          <w:i/>
          <w:spacing w:val="-20"/>
          <w:sz w:val="28"/>
          <w:szCs w:val="28"/>
        </w:rPr>
        <w:t>Engwau, Twinomujuni &amp; Kitumba</w:t>
      </w:r>
      <w:r w:rsidRPr="008818C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JJA</w:t>
      </w:r>
      <w:r w:rsidR="003569CB" w:rsidRPr="008818CB">
        <w:rPr>
          <w:rFonts w:ascii="Times New Roman" w:hAnsi="Times New Roman" w:cs="Times New Roman"/>
          <w:i/>
          <w:spacing w:val="-20"/>
          <w:sz w:val="28"/>
          <w:szCs w:val="28"/>
        </w:rPr>
        <w:t>.</w:t>
      </w:r>
      <w:r w:rsidRPr="008818C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) dated </w:t>
      </w:r>
      <w:r w:rsidR="003569CB" w:rsidRPr="008818CB">
        <w:rPr>
          <w:rFonts w:ascii="Times New Roman" w:hAnsi="Times New Roman" w:cs="Times New Roman"/>
          <w:i/>
          <w:spacing w:val="-20"/>
          <w:sz w:val="28"/>
          <w:szCs w:val="28"/>
        </w:rPr>
        <w:t>16</w:t>
      </w:r>
      <w:r w:rsidR="003569CB" w:rsidRPr="008818CB">
        <w:rPr>
          <w:rFonts w:ascii="Times New Roman" w:hAnsi="Times New Roman" w:cs="Times New Roman"/>
          <w:i/>
          <w:spacing w:val="-20"/>
          <w:sz w:val="28"/>
          <w:szCs w:val="28"/>
          <w:vertAlign w:val="superscript"/>
        </w:rPr>
        <w:t>th</w:t>
      </w:r>
      <w:r w:rsidR="003569CB" w:rsidRPr="008818C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December, 2009 in Civil Appeal No. 91  of 2003</w:t>
      </w:r>
      <w:r w:rsidRPr="008818CB">
        <w:rPr>
          <w:rFonts w:ascii="Times New Roman" w:hAnsi="Times New Roman" w:cs="Times New Roman"/>
          <w:i/>
          <w:spacing w:val="-20"/>
          <w:sz w:val="28"/>
          <w:szCs w:val="28"/>
        </w:rPr>
        <w:t>}</w:t>
      </w:r>
    </w:p>
    <w:p w:rsidR="009F6633" w:rsidRPr="008818CB" w:rsidRDefault="009F6633" w:rsidP="009F6633">
      <w:pPr>
        <w:spacing w:after="0"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0230F4" w:rsidRPr="008818CB" w:rsidRDefault="000230F4" w:rsidP="009F6633">
      <w:pPr>
        <w:spacing w:after="0"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F6633" w:rsidRPr="008818CB" w:rsidRDefault="009F6633" w:rsidP="009F6633">
      <w:pPr>
        <w:spacing w:after="0"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F6633" w:rsidRPr="008818CB" w:rsidRDefault="00AE1384" w:rsidP="001E7B30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  <w:u w:val="thick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  <w:u w:val="thick"/>
        </w:rPr>
        <w:t>RULING</w:t>
      </w:r>
      <w:r w:rsidR="009F6633" w:rsidRPr="008818CB">
        <w:rPr>
          <w:rFonts w:ascii="Times New Roman" w:hAnsi="Times New Roman" w:cs="Times New Roman"/>
          <w:spacing w:val="-12"/>
          <w:sz w:val="28"/>
          <w:szCs w:val="28"/>
          <w:u w:val="thick"/>
        </w:rPr>
        <w:t xml:space="preserve"> OF </w:t>
      </w:r>
      <w:r w:rsidR="00580B00" w:rsidRPr="008818CB">
        <w:rPr>
          <w:rFonts w:ascii="Times New Roman" w:hAnsi="Times New Roman" w:cs="Times New Roman"/>
          <w:spacing w:val="-12"/>
          <w:sz w:val="28"/>
          <w:szCs w:val="28"/>
          <w:u w:val="thick"/>
        </w:rPr>
        <w:t>THE COURT</w:t>
      </w:r>
      <w:r w:rsidR="009F6633" w:rsidRPr="008818CB">
        <w:rPr>
          <w:rFonts w:ascii="Times New Roman" w:hAnsi="Times New Roman" w:cs="Times New Roman"/>
          <w:spacing w:val="-12"/>
          <w:sz w:val="28"/>
          <w:szCs w:val="28"/>
          <w:u w:val="thick"/>
        </w:rPr>
        <w:t>.</w:t>
      </w:r>
    </w:p>
    <w:p w:rsidR="009F6633" w:rsidRPr="008818CB" w:rsidRDefault="00985BA4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Giuliano Gariggio, the appellant</w:t>
      </w:r>
      <w:r w:rsidR="008C5A06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, instituted a second appeal to this Court.  It arose from a </w:t>
      </w:r>
      <w:r w:rsidR="00B0332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decision of the Court of Appeal which substantially upheld </w:t>
      </w:r>
      <w:r w:rsidR="008C5A06" w:rsidRPr="008818CB">
        <w:rPr>
          <w:rFonts w:ascii="Times New Roman" w:hAnsi="Times New Roman" w:cs="Times New Roman"/>
          <w:spacing w:val="-12"/>
          <w:sz w:val="28"/>
          <w:szCs w:val="28"/>
        </w:rPr>
        <w:t>a</w:t>
      </w:r>
      <w:r w:rsidR="00B0332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decision of the High Court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by dismissing the appeal</w:t>
      </w:r>
      <w:r w:rsidR="00883ACF" w:rsidRPr="008818CB">
        <w:rPr>
          <w:rFonts w:ascii="Times New Roman" w:hAnsi="Times New Roman" w:cs="Times New Roman"/>
          <w:spacing w:val="-12"/>
          <w:sz w:val="28"/>
          <w:szCs w:val="28"/>
        </w:rPr>
        <w:t>.  The respondent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883AC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11D9" w:rsidRPr="008818CB">
        <w:rPr>
          <w:rFonts w:ascii="Times New Roman" w:hAnsi="Times New Roman" w:cs="Times New Roman"/>
          <w:spacing w:val="-12"/>
          <w:sz w:val="28"/>
          <w:szCs w:val="28"/>
        </w:rPr>
        <w:t>Glaudio Casadio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, had </w:t>
      </w:r>
      <w:r w:rsidR="00A211D9" w:rsidRPr="008818CB">
        <w:rPr>
          <w:rFonts w:ascii="Times New Roman" w:hAnsi="Times New Roman" w:cs="Times New Roman"/>
          <w:spacing w:val="-12"/>
          <w:sz w:val="28"/>
          <w:szCs w:val="28"/>
        </w:rPr>
        <w:t>lodged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 cross-a</w:t>
      </w:r>
      <w:r w:rsidR="00883ACF" w:rsidRPr="008818CB">
        <w:rPr>
          <w:rFonts w:ascii="Times New Roman" w:hAnsi="Times New Roman" w:cs="Times New Roman"/>
          <w:spacing w:val="-12"/>
          <w:sz w:val="28"/>
          <w:szCs w:val="28"/>
        </w:rPr>
        <w:t>ppeal</w:t>
      </w:r>
      <w:r w:rsidR="00A211D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to the Court of Appeal</w:t>
      </w:r>
      <w:r w:rsidR="003E718A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3664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and the </w:t>
      </w:r>
      <w:r w:rsidR="006F452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Court </w:t>
      </w:r>
      <w:r w:rsidR="003E718A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allowed the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cross-appeal</w:t>
      </w:r>
      <w:r w:rsidR="003E718A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9F6633" w:rsidRPr="008818CB" w:rsidRDefault="009F6633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F6633" w:rsidRPr="008818CB" w:rsidRDefault="00A211D9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Background:</w:t>
      </w:r>
    </w:p>
    <w:p w:rsidR="00CD1C5F" w:rsidRPr="008818CB" w:rsidRDefault="00BB4FE5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5E79C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appellant and 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5E79CB" w:rsidRPr="008818CB">
        <w:rPr>
          <w:rFonts w:ascii="Times New Roman" w:hAnsi="Times New Roman" w:cs="Times New Roman"/>
          <w:spacing w:val="-12"/>
          <w:sz w:val="28"/>
          <w:szCs w:val="28"/>
        </w:rPr>
        <w:t>respondent were business associates for slightly over one year before the relationship went sour and broke up.  T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he appellant</w:t>
      </w:r>
      <w:r w:rsidR="001D071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sued the respondent seeking</w:t>
      </w:r>
      <w:r w:rsidR="00B137A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for a </w:t>
      </w:r>
      <w:r w:rsidR="001D071E" w:rsidRPr="008818CB">
        <w:rPr>
          <w:rFonts w:ascii="Times New Roman" w:hAnsi="Times New Roman" w:cs="Times New Roman"/>
          <w:spacing w:val="-12"/>
          <w:sz w:val="28"/>
          <w:szCs w:val="28"/>
        </w:rPr>
        <w:t>declaration that he is the owner of the machinery in the premises of Domus Aurea Ltd on Plot 123, 6</w:t>
      </w:r>
      <w:r w:rsidR="001D071E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th</w:t>
      </w:r>
      <w:r w:rsidR="001D071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Street</w:t>
      </w:r>
      <w:r w:rsidR="0032676B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D071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Industrial Area, Kampala, and </w:t>
      </w:r>
      <w:r w:rsidR="00985BA4" w:rsidRPr="008818CB">
        <w:rPr>
          <w:rFonts w:ascii="Times New Roman" w:hAnsi="Times New Roman" w:cs="Times New Roman"/>
          <w:spacing w:val="-12"/>
          <w:sz w:val="28"/>
          <w:szCs w:val="28"/>
        </w:rPr>
        <w:t>an un</w:t>
      </w:r>
      <w:r w:rsidR="001D071E" w:rsidRPr="008818CB">
        <w:rPr>
          <w:rFonts w:ascii="Times New Roman" w:hAnsi="Times New Roman" w:cs="Times New Roman"/>
          <w:spacing w:val="-12"/>
          <w:sz w:val="28"/>
          <w:szCs w:val="28"/>
        </w:rPr>
        <w:t>conditional order releasing the</w:t>
      </w:r>
      <w:r w:rsidR="00CD1C5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same machines to the appellant, a permanent injunction, general damages and costs </w:t>
      </w:r>
      <w:r w:rsidR="0032676B" w:rsidRPr="008818CB">
        <w:rPr>
          <w:rFonts w:ascii="Times New Roman" w:hAnsi="Times New Roman" w:cs="Times New Roman"/>
          <w:spacing w:val="-12"/>
          <w:sz w:val="28"/>
          <w:szCs w:val="28"/>
        </w:rPr>
        <w:t>of the</w:t>
      </w:r>
      <w:r w:rsidR="00CD1C5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suit.</w:t>
      </w:r>
    </w:p>
    <w:p w:rsidR="00CD1C5F" w:rsidRPr="008818CB" w:rsidRDefault="00CD1C5F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E66947" w:rsidRPr="008818CB" w:rsidRDefault="00B137A9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During trial, h</w:t>
      </w:r>
      <w:r w:rsidR="00CD1C5F" w:rsidRPr="008818CB">
        <w:rPr>
          <w:rFonts w:ascii="Times New Roman" w:hAnsi="Times New Roman" w:cs="Times New Roman"/>
          <w:spacing w:val="-12"/>
          <w:sz w:val="28"/>
          <w:szCs w:val="28"/>
        </w:rPr>
        <w:t>is evidence was that he had an oral agreement with the respondent to set up a joint venture to run a Carpentry Workshop.</w:t>
      </w:r>
      <w:r w:rsidR="0068714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That the shareholding was agreed at 51% - 49% for the respondent and the appellant respectively.  The business commenced </w:t>
      </w:r>
      <w:r w:rsidR="00687143" w:rsidRPr="008818CB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around September 2000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and </w:t>
      </w:r>
      <w:r w:rsidR="002603E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ended on </w:t>
      </w:r>
      <w:r w:rsidR="0068714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30/12/01 when the </w:t>
      </w:r>
      <w:r w:rsidR="002603E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respondent 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kicked </w:t>
      </w:r>
      <w:r w:rsidR="0068714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2603E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appellant out of 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687143" w:rsidRPr="008818CB">
        <w:rPr>
          <w:rFonts w:ascii="Times New Roman" w:hAnsi="Times New Roman" w:cs="Times New Roman"/>
          <w:spacing w:val="-12"/>
          <w:sz w:val="28"/>
          <w:szCs w:val="28"/>
        </w:rPr>
        <w:t>business</w:t>
      </w:r>
      <w:r w:rsidR="002603E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E66947" w:rsidRPr="008818CB" w:rsidRDefault="00E66947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D6C01" w:rsidRPr="008818CB" w:rsidRDefault="00E66947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The respondent denied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the claim and set up a counter-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claim stating that he was engaged by the appellant at a 10% Commission to negotiate liquidation of the appellant’s 25% shares in 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 company known as </w:t>
      </w: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Kava International Ltd.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T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>he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respondent 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claimed to have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successfully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carried out the task with the result that Kava International Ltd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5711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released or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transferred to the appellant land and machinery worth Ug.Shs.216,870,000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>/=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711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which was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equivalent to his 25% shares in the company.  </w:t>
      </w:r>
      <w:r w:rsidR="001F7570" w:rsidRPr="008818CB">
        <w:rPr>
          <w:rFonts w:ascii="Times New Roman" w:hAnsi="Times New Roman" w:cs="Times New Roman"/>
          <w:spacing w:val="-12"/>
          <w:sz w:val="28"/>
          <w:szCs w:val="28"/>
        </w:rPr>
        <w:t>F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rom 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agreement </w:t>
      </w:r>
      <w:r w:rsidR="00F5717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between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the parties the respondent’s 10% commission was equivalent to Ug.Shs.21,678,000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>/=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.  Thereafter, the appellant agreed to sell some of 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>the machines recovered from Kava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International Ltd to the respondent’s company called Domus Aurea Ltd.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T</w:t>
      </w:r>
      <w:r w:rsidR="00341850" w:rsidRPr="008818CB">
        <w:rPr>
          <w:rFonts w:ascii="Times New Roman" w:hAnsi="Times New Roman" w:cs="Times New Roman"/>
          <w:spacing w:val="-12"/>
          <w:sz w:val="28"/>
          <w:szCs w:val="28"/>
        </w:rPr>
        <w:t>he agreed price was Ug.Shs.75,920,000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/= </w:t>
      </w:r>
      <w:r w:rsidR="00341850" w:rsidRPr="008818CB">
        <w:rPr>
          <w:rFonts w:ascii="Times New Roman" w:hAnsi="Times New Roman" w:cs="Times New Roman"/>
          <w:spacing w:val="-12"/>
          <w:sz w:val="28"/>
          <w:szCs w:val="28"/>
        </w:rPr>
        <w:t>of which a sum of Ug.Shs.30,000,000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>/=</w:t>
      </w:r>
      <w:r w:rsidR="0034185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was paid in furtherance of the said contract.</w:t>
      </w:r>
      <w:r w:rsidR="00FE3325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Further payment</w:t>
      </w:r>
      <w:r w:rsidR="00294775" w:rsidRPr="008818CB">
        <w:rPr>
          <w:rFonts w:ascii="Times New Roman" w:hAnsi="Times New Roman" w:cs="Times New Roman"/>
          <w:spacing w:val="-12"/>
          <w:sz w:val="28"/>
          <w:szCs w:val="28"/>
        </w:rPr>
        <w:t>s</w:t>
      </w:r>
      <w:r w:rsidR="00FE3325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were stopped when the appellant refused to formalise the documentation for the sale of the machines for purposes of the company’s records, accounts and taxation.</w:t>
      </w:r>
      <w:r w:rsidR="0034185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FD6C01" w:rsidRPr="008818CB" w:rsidRDefault="00FD6C01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D042D" w:rsidRPr="008818CB" w:rsidRDefault="00FD6C01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respondent further </w:t>
      </w:r>
      <w:r w:rsidR="00AE7DC6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testified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that for a similar 10% commission, he sold various machines on behalf of the appellant to Kap</w:t>
      </w:r>
      <w:r w:rsidR="00D90361" w:rsidRPr="008818CB">
        <w:rPr>
          <w:rFonts w:ascii="Times New Roman" w:hAnsi="Times New Roman" w:cs="Times New Roman"/>
          <w:spacing w:val="-12"/>
          <w:sz w:val="28"/>
          <w:szCs w:val="28"/>
        </w:rPr>
        <w:t>k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wata Saw Mills Ltd</w:t>
      </w:r>
      <w:r w:rsidR="00A66EF8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for Ug.Shs.24,650,000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>/=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and thus his commission </w:t>
      </w:r>
      <w:r w:rsidR="001F75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amounted to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Ug.Shs.2,465,000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>/=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34185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66947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Therefore the total amount owed by the appellant to the respondent </w:t>
      </w:r>
      <w:r w:rsidR="009A46B3" w:rsidRPr="008818CB">
        <w:rPr>
          <w:rFonts w:ascii="Times New Roman" w:hAnsi="Times New Roman" w:cs="Times New Roman"/>
          <w:spacing w:val="-12"/>
          <w:sz w:val="28"/>
          <w:szCs w:val="28"/>
        </w:rPr>
        <w:t>as commission</w:t>
      </w:r>
      <w:r w:rsidR="00E5515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was Ug.Shs.24,143,000/=.</w:t>
      </w:r>
      <w:r w:rsidR="00985BA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The tri</w:t>
      </w:r>
      <w:r w:rsidR="005F614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al judge </w:t>
      </w:r>
      <w:r w:rsidR="006C2F1F" w:rsidRPr="008818CB">
        <w:rPr>
          <w:rFonts w:ascii="Times New Roman" w:hAnsi="Times New Roman" w:cs="Times New Roman"/>
          <w:spacing w:val="-12"/>
          <w:sz w:val="28"/>
          <w:szCs w:val="28"/>
        </w:rPr>
        <w:t>did not believ</w:t>
      </w:r>
      <w:r w:rsidR="001E71C7" w:rsidRPr="008818CB">
        <w:rPr>
          <w:rFonts w:ascii="Times New Roman" w:hAnsi="Times New Roman" w:cs="Times New Roman"/>
          <w:spacing w:val="-12"/>
          <w:sz w:val="28"/>
          <w:szCs w:val="28"/>
        </w:rPr>
        <w:t>e</w:t>
      </w:r>
      <w:r w:rsidR="006C2F1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the appellant and so </w:t>
      </w:r>
      <w:r w:rsidR="005F614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dismissed the </w:t>
      </w:r>
      <w:r w:rsidR="00985BA4" w:rsidRPr="008818CB">
        <w:rPr>
          <w:rFonts w:ascii="Times New Roman" w:hAnsi="Times New Roman" w:cs="Times New Roman"/>
          <w:spacing w:val="-12"/>
          <w:sz w:val="28"/>
          <w:szCs w:val="28"/>
        </w:rPr>
        <w:t>suit but allowed the counterclaim by the respondent.  The appellant</w:t>
      </w:r>
      <w:r w:rsidR="005F614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appealed</w:t>
      </w:r>
      <w:r w:rsidR="00985BA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to the Court of Appeal against the decision of the High Court.  The present respondent also cross-appealed against parts of the decision of the trial judge.  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Court of Appeal dismissed the main appeal but allowed the cross-appeal. The appellant has now lodged this appeal which is </w:t>
      </w:r>
      <w:r w:rsidR="00EF270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based on six 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>grounds.</w:t>
      </w:r>
      <w:r w:rsidR="00985BA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680F18" w:rsidRPr="008818CB" w:rsidRDefault="00680F18" w:rsidP="00EB447B">
      <w:pPr>
        <w:pStyle w:val="ListParagraph"/>
        <w:tabs>
          <w:tab w:val="left" w:pos="124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B636CE" w:rsidRPr="008818CB" w:rsidRDefault="00B636CE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The appellant is represented by Messrs</w:t>
      </w:r>
      <w:r w:rsidR="000D6262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Kasolo &amp; Khiddu</w:t>
      </w:r>
      <w:r w:rsidR="000D6262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Advocates</w:t>
      </w:r>
      <w:r w:rsidR="000D6262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and the respondent is </w:t>
      </w:r>
      <w:r w:rsidR="00A66EF8" w:rsidRPr="008818CB">
        <w:rPr>
          <w:rFonts w:ascii="Times New Roman" w:hAnsi="Times New Roman" w:cs="Times New Roman"/>
          <w:spacing w:val="-12"/>
          <w:sz w:val="28"/>
          <w:szCs w:val="28"/>
        </w:rPr>
        <w:t>represented by Messrs</w:t>
      </w:r>
      <w:r w:rsidR="000D6262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A66EF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Kahuma, K</w:t>
      </w:r>
      <w:r w:rsidR="000D6262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halayi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&amp; Kaheera, Advocates.  Counsel for both sides filed written statements</w:t>
      </w:r>
      <w:r w:rsidR="009E0682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of arguments.</w:t>
      </w:r>
    </w:p>
    <w:p w:rsidR="00344BFC" w:rsidRPr="008818CB" w:rsidRDefault="00344BFC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93290" w:rsidRPr="008818CB" w:rsidRDefault="00680F18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In his written arguments, counsel for the respondent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first challenged the competence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of the appeal and repeated that challenge when the appeal was called up for hearing on 22/03/2012.  According to </w:t>
      </w:r>
      <w:r w:rsidR="00746B59" w:rsidRPr="008818CB">
        <w:rPr>
          <w:rFonts w:ascii="Times New Roman" w:hAnsi="Times New Roman" w:cs="Times New Roman"/>
          <w:spacing w:val="-12"/>
          <w:sz w:val="28"/>
          <w:szCs w:val="28"/>
        </w:rPr>
        <w:t>l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earned counsel, </w:t>
      </w:r>
      <w:r w:rsidR="00746B5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after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t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he Court of Appeal 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had 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>dismissed the appeal on 16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th</w:t>
      </w:r>
      <w:r w:rsidR="00746B5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December, 2009, t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>he appellant did not lodge a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Notice of Appeal within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>14 days after 16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th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December, 2009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as stipulated by </w:t>
      </w:r>
      <w:r w:rsidR="00344BFC" w:rsidRPr="008818CB">
        <w:rPr>
          <w:rFonts w:ascii="Times New Roman" w:hAnsi="Times New Roman" w:cs="Times New Roman"/>
          <w:b/>
          <w:spacing w:val="-12"/>
          <w:sz w:val="28"/>
          <w:szCs w:val="28"/>
        </w:rPr>
        <w:t>Rule 72(2)</w:t>
      </w:r>
      <w:r w:rsidR="00344BF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of the Rules of this Court.  Rule 72(2) states that 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>“</w:t>
      </w:r>
      <w:r w:rsidR="00344BFC" w:rsidRPr="008818CB">
        <w:rPr>
          <w:rFonts w:ascii="Times New Roman" w:hAnsi="Times New Roman" w:cs="Times New Roman"/>
          <w:b/>
          <w:spacing w:val="-12"/>
          <w:sz w:val="28"/>
          <w:szCs w:val="28"/>
        </w:rPr>
        <w:t>Every notice under subrule</w:t>
      </w: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(1) of this Rule shall, subject to Rules 80 and 91 of these Rules, be lodged within fourteen days after the date of the decision against which it is desired to appeal.</w:t>
      </w:r>
      <w:r w:rsidR="00FD112B" w:rsidRPr="008818C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”  </w:t>
      </w:r>
    </w:p>
    <w:p w:rsidR="003F6753" w:rsidRPr="008818CB" w:rsidRDefault="003F6753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A0D09" w:rsidRPr="008818CB" w:rsidRDefault="00FD112B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In this case, t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</w:rPr>
        <w:t>he appellant lodge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>d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 notice on 27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th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January, 2010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>, which, even if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the 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Christmas 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court vacation was taken into 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>account</w:t>
      </w:r>
      <w:r w:rsidR="00DE4FC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{see Rule 21(2)} is beyond the 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>14 days allowed by Rule 72(2).  Because of that, counsel for the appellant file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>d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in the 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>Court of Appeal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Civil Application No. 18 of 2010 </w:t>
      </w:r>
      <w:r w:rsidR="007D642C" w:rsidRPr="008818CB">
        <w:rPr>
          <w:rFonts w:ascii="Times New Roman" w:hAnsi="Times New Roman" w:cs="Times New Roman"/>
          <w:b/>
          <w:spacing w:val="-12"/>
          <w:sz w:val="28"/>
          <w:szCs w:val="28"/>
        </w:rPr>
        <w:t>(Giuliano Gariggio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D642C" w:rsidRPr="008818CB">
        <w:rPr>
          <w:rFonts w:ascii="Times New Roman" w:hAnsi="Times New Roman" w:cs="Times New Roman"/>
          <w:b/>
          <w:spacing w:val="-12"/>
          <w:sz w:val="28"/>
          <w:szCs w:val="28"/>
        </w:rPr>
        <w:t>vs. G</w:t>
      </w:r>
      <w:r w:rsidR="00B04D71" w:rsidRPr="008818CB">
        <w:rPr>
          <w:rFonts w:ascii="Times New Roman" w:hAnsi="Times New Roman" w:cs="Times New Roman"/>
          <w:b/>
          <w:spacing w:val="-12"/>
          <w:sz w:val="28"/>
          <w:szCs w:val="28"/>
        </w:rPr>
        <w:t>l</w:t>
      </w:r>
      <w:r w:rsidR="007D642C" w:rsidRPr="008818CB">
        <w:rPr>
          <w:rFonts w:ascii="Times New Roman" w:hAnsi="Times New Roman" w:cs="Times New Roman"/>
          <w:b/>
          <w:spacing w:val="-12"/>
          <w:sz w:val="28"/>
          <w:szCs w:val="28"/>
        </w:rPr>
        <w:t>audio Casadio)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seeking for extension of time to lodge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 proper 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Notice of Appeal.  To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compound the problem, 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His Worship 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Deo Nizeyimana, 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>the Assistant Registrar, Court of Appeal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>purported to hear and grant that application on 26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th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April, 2010.  He allowed the appellant to file a Notice of Appeal out of time and purported to validate the Notice of Appeal 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which had been filed </w:t>
      </w:r>
      <w:r w:rsidR="000E085D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out of time 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>on 27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th</w:t>
      </w:r>
      <w:r w:rsidR="0069329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January, 2010.</w:t>
      </w:r>
      <w:r w:rsidR="007D642C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9A0D09" w:rsidRPr="008818CB" w:rsidRDefault="009A0D09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E5F88" w:rsidRPr="008818CB" w:rsidRDefault="0053200F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On the day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when the appeal was called up for hearing, a</w:t>
      </w:r>
      <w:r w:rsidR="009A0D0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fter hints from the bench, Mr. Kahuma for the respondent 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was in effect forced to 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>abandon</w:t>
      </w:r>
      <w:r w:rsidR="009A0D0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his objectio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n.  </w:t>
      </w:r>
      <w:r w:rsidR="009A0D0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Mr. Mugenyi for the appellant then 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</w:rPr>
        <w:t>resuscitated the matter by arguing that leave was granted by the Registrar of the Court of Appeal and that notice of objection by respondent was withdrawn.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1E71C7" w:rsidRPr="008818CB">
        <w:rPr>
          <w:rFonts w:ascii="Times New Roman" w:hAnsi="Times New Roman" w:cs="Times New Roman"/>
          <w:spacing w:val="-12"/>
          <w:sz w:val="28"/>
          <w:szCs w:val="28"/>
        </w:rPr>
        <w:t>We</w:t>
      </w:r>
      <w:r w:rsidR="00FD112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do not believe that such withdrawal would validate a notice filed without 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>following the rules.</w:t>
      </w:r>
    </w:p>
    <w:p w:rsidR="002E5F88" w:rsidRPr="008818CB" w:rsidRDefault="002E5F88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E5F88" w:rsidRPr="008818CB" w:rsidRDefault="0053200F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We are faced with deciding whether the Registrar of the Court of Appeal has powers to grant 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leave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to appeal to this Court.  </w:t>
      </w:r>
      <w:r w:rsidR="00607EE4" w:rsidRPr="008818CB">
        <w:rPr>
          <w:rFonts w:ascii="Times New Roman" w:hAnsi="Times New Roman" w:cs="Times New Roman"/>
          <w:spacing w:val="-12"/>
          <w:sz w:val="28"/>
          <w:szCs w:val="28"/>
        </w:rPr>
        <w:t>In our considered opinion</w:t>
      </w:r>
      <w:r w:rsidR="003C6D89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Registrar of Court of Appeal has no powers to grant 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such 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leave for a party to appeal to the Supreme Court.  The appellant is relying on </w:t>
      </w:r>
      <w:r w:rsidR="002E5F88" w:rsidRPr="008818C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Practice Direction No. 01 of 2004 {Court of Appeal (Judicial Powers of Registrars) Practice Direction} 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</w:rPr>
        <w:t>promulgated by the Chief Justice on 02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nd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July, 2004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for the view that the Registrar has those powers</w:t>
      </w:r>
      <w:r w:rsidR="002E5F88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E5F88" w:rsidRPr="008818CB" w:rsidRDefault="002E5F88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374354" w:rsidRPr="008818CB" w:rsidRDefault="002E5F88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As the title of the Practice Direction shows, the powers granted to the Registrars</w:t>
      </w:r>
      <w:r w:rsidR="0037435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of the Court of Appeal 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is </w:t>
      </w:r>
      <w:r w:rsidR="0037435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to exercise 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such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>power</w:t>
      </w:r>
      <w:r w:rsidR="0037435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as extension of time to file Notice of Appeal </w:t>
      </w:r>
      <w:r w:rsidR="002A315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in </w:t>
      </w:r>
      <w:r w:rsidR="00374354" w:rsidRPr="008818CB">
        <w:rPr>
          <w:rFonts w:ascii="Times New Roman" w:hAnsi="Times New Roman" w:cs="Times New Roman"/>
          <w:spacing w:val="-12"/>
          <w:sz w:val="28"/>
          <w:szCs w:val="28"/>
        </w:rPr>
        <w:t>the Court of Appeal under Rule 5 of the Rules of the Court of Appeal.  The Rule itself reads as follows —</w:t>
      </w:r>
    </w:p>
    <w:p w:rsidR="00734663" w:rsidRPr="008818CB" w:rsidRDefault="00374354" w:rsidP="00374354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“The Court may, for suffic</w:t>
      </w:r>
      <w:r w:rsidR="0053200F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ient reason, extend the time limi</w:t>
      </w:r>
      <w:r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ted by these Rules or by any decision of the Court or of the High Co</w:t>
      </w:r>
      <w:r w:rsidR="0053200F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urt for the doing of any act </w:t>
      </w:r>
      <w:r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authorised or required by these Rules, whether before or after the expiration of that time and whether before or after the doing of the act; and any reference in these Rules to any such time shall be construed as a reference to the time as extended.”</w:t>
      </w:r>
    </w:p>
    <w:p w:rsidR="00B970B5" w:rsidRPr="008818CB" w:rsidRDefault="00B970B5" w:rsidP="00374354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BE7340" w:rsidRPr="008818CB" w:rsidRDefault="00734663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Clearly this Rule 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>is abou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 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doing of an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act which relates to the work of the Court of Appeal but not to the work of the Supreme Court.  The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only </w:t>
      </w:r>
      <w:r w:rsidR="00B970B5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job to be done by the Registrar in so far as appeals to this Court are concerned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is to 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receive the notice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and 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>thereafter organise the record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.  </w:t>
      </w:r>
      <w:r w:rsidR="00A36204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See Rule 77 OF THE Court of Appeal Rules and Rule 73 of the Supreme Court Rules. 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53200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Supreme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Court h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>as its own Rules which regulate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extension of time to do things like filing a Notice of Appeal out of time. 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Learned counsel for the appellant </w:t>
      </w:r>
      <w:r w:rsidR="00FA0D70" w:rsidRPr="008818CB">
        <w:rPr>
          <w:rFonts w:ascii="Times New Roman" w:hAnsi="Times New Roman" w:cs="Times New Roman"/>
          <w:spacing w:val="-12"/>
          <w:sz w:val="28"/>
          <w:szCs w:val="28"/>
        </w:rPr>
        <w:t>appears to rely on t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he ruling by Nshimye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JA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>.,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in</w:t>
      </w:r>
      <w:r w:rsidR="00FA0D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the case of </w:t>
      </w:r>
      <w:r w:rsidR="00FA0D70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Mandela Auto Spares vs. Marketing Information System</w:t>
      </w:r>
      <w:r w:rsidR="001A3B23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="000A4470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[</w:t>
      </w:r>
      <w:r w:rsidR="001A3B23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Court of Appeal Civil Reference No. 74 of 2008</w:t>
      </w:r>
      <w:r w:rsidR="000A4470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>]</w:t>
      </w:r>
      <w:r w:rsidR="00FA0D70" w:rsidRPr="008818C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.  </w:t>
      </w:r>
      <w:r w:rsidR="00FA0D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decision there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is correct because it 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concerned </w:t>
      </w:r>
      <w:r w:rsidR="00FA0D70" w:rsidRPr="008818CB">
        <w:rPr>
          <w:rFonts w:ascii="Times New Roman" w:hAnsi="Times New Roman" w:cs="Times New Roman"/>
          <w:spacing w:val="-12"/>
          <w:sz w:val="28"/>
          <w:szCs w:val="28"/>
        </w:rPr>
        <w:t>extension of time in the Court of Appeal.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8F4ACD" w:rsidRPr="008818CB">
        <w:rPr>
          <w:rFonts w:ascii="Times New Roman" w:hAnsi="Times New Roman" w:cs="Times New Roman"/>
          <w:spacing w:val="-12"/>
          <w:sz w:val="28"/>
          <w:szCs w:val="28"/>
        </w:rPr>
        <w:t>The applicat</w:t>
      </w:r>
      <w:r w:rsidR="00BE7340" w:rsidRPr="008818CB">
        <w:rPr>
          <w:rFonts w:ascii="Times New Roman" w:hAnsi="Times New Roman" w:cs="Times New Roman"/>
          <w:spacing w:val="-12"/>
          <w:sz w:val="28"/>
          <w:szCs w:val="28"/>
        </w:rPr>
        <w:t>ion or reference arose from</w:t>
      </w:r>
      <w:r w:rsidR="008F4ACD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</w:t>
      </w:r>
      <w:r w:rsidR="00BE7340" w:rsidRPr="008818CB">
        <w:rPr>
          <w:rFonts w:ascii="Times New Roman" w:hAnsi="Times New Roman" w:cs="Times New Roman"/>
          <w:spacing w:val="-12"/>
          <w:sz w:val="28"/>
          <w:szCs w:val="28"/>
        </w:rPr>
        <w:t>e decision of the Assistant Reg</w:t>
      </w:r>
      <w:r w:rsidR="008F4ACD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istrar who exercised power 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under </w:t>
      </w:r>
      <w:r w:rsidR="00BE7340" w:rsidRPr="008818CB">
        <w:rPr>
          <w:rFonts w:ascii="Times New Roman" w:hAnsi="Times New Roman" w:cs="Times New Roman"/>
          <w:spacing w:val="-12"/>
          <w:sz w:val="28"/>
          <w:szCs w:val="28"/>
        </w:rPr>
        <w:t>the Chief Justices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>’</w:t>
      </w:r>
      <w:r w:rsidR="00BE7340" w:rsidRPr="008818CB">
        <w:rPr>
          <w:rFonts w:ascii="Times New Roman" w:hAnsi="Times New Roman" w:cs="Times New Roman"/>
          <w:spacing w:val="-12"/>
          <w:sz w:val="28"/>
          <w:szCs w:val="28"/>
        </w:rPr>
        <w:t>Practice Direction</w:t>
      </w:r>
      <w:r w:rsidR="006F452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>(</w:t>
      </w:r>
      <w:r w:rsidR="001A3B23" w:rsidRPr="008818CB">
        <w:rPr>
          <w:rFonts w:ascii="Times New Roman" w:hAnsi="Times New Roman" w:cs="Times New Roman"/>
          <w:i/>
          <w:spacing w:val="-12"/>
          <w:sz w:val="28"/>
          <w:szCs w:val="28"/>
        </w:rPr>
        <w:t>supra</w:t>
      </w:r>
      <w:r w:rsidR="000A4470" w:rsidRPr="008818CB">
        <w:rPr>
          <w:rFonts w:ascii="Times New Roman" w:hAnsi="Times New Roman" w:cs="Times New Roman"/>
          <w:i/>
          <w:spacing w:val="-12"/>
          <w:sz w:val="28"/>
          <w:szCs w:val="28"/>
        </w:rPr>
        <w:t>)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E734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and granted an </w:t>
      </w:r>
      <w:r w:rsidR="006F452F" w:rsidRPr="008818CB">
        <w:rPr>
          <w:rFonts w:ascii="Times New Roman" w:hAnsi="Times New Roman" w:cs="Times New Roman"/>
          <w:spacing w:val="-12"/>
          <w:sz w:val="28"/>
          <w:szCs w:val="28"/>
        </w:rPr>
        <w:t>interim</w:t>
      </w:r>
      <w:r w:rsidR="00BE734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order.</w:t>
      </w:r>
    </w:p>
    <w:p w:rsidR="00BE7340" w:rsidRPr="008818CB" w:rsidRDefault="00BE7340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8F4ACD" w:rsidRPr="008818CB" w:rsidRDefault="00BE7340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circumstances of 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this appeal are different. 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Practice Direction No. 01 of 2004 gave powers to the Registrars of the Court of Appeal to exercise t</w:t>
      </w:r>
      <w:r w:rsidR="0098526B" w:rsidRPr="008818CB">
        <w:rPr>
          <w:rFonts w:ascii="Times New Roman" w:hAnsi="Times New Roman" w:cs="Times New Roman"/>
          <w:spacing w:val="-12"/>
          <w:sz w:val="28"/>
          <w:szCs w:val="28"/>
        </w:rPr>
        <w:t>he powers which were previously</w:t>
      </w:r>
      <w:r w:rsidR="00882928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exercise</w:t>
      </w:r>
      <w:r w:rsidR="0098526B" w:rsidRPr="008818CB">
        <w:rPr>
          <w:rFonts w:ascii="Times New Roman" w:hAnsi="Times New Roman" w:cs="Times New Roman"/>
          <w:spacing w:val="-12"/>
          <w:sz w:val="28"/>
          <w:szCs w:val="28"/>
        </w:rPr>
        <w:t>d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only </w:t>
      </w:r>
      <w:r w:rsidR="00787082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by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the Justices of the Court of Appeal</w:t>
      </w:r>
      <w:r w:rsidR="001A3B2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in relation to the work of that Court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.  As far as </w:t>
      </w:r>
      <w:r w:rsidR="002B365D" w:rsidRPr="008818CB">
        <w:rPr>
          <w:rFonts w:ascii="Times New Roman" w:hAnsi="Times New Roman" w:cs="Times New Roman"/>
          <w:spacing w:val="-12"/>
          <w:sz w:val="28"/>
          <w:szCs w:val="28"/>
        </w:rPr>
        <w:t>we are</w:t>
      </w:r>
      <w:r w:rsidR="000F3C7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aware</w:t>
      </w:r>
      <w:r w:rsidR="00787082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the Justices of the Court of Appeal did not have power at the relevant time</w:t>
      </w:r>
      <w:r w:rsidR="00787082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to hear applications for leave and</w:t>
      </w:r>
      <w:r w:rsidR="00787082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or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>grant</w:t>
      </w:r>
      <w:r w:rsidR="006F452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leave to file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6F452F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156A5" w:rsidRPr="008818CB">
        <w:rPr>
          <w:rFonts w:ascii="Times New Roman" w:hAnsi="Times New Roman" w:cs="Times New Roman"/>
          <w:spacing w:val="-12"/>
          <w:sz w:val="28"/>
          <w:szCs w:val="28"/>
        </w:rPr>
        <w:t>in this Court</w:t>
      </w:r>
      <w:r w:rsidR="000A4470" w:rsidRPr="008818CB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E156A5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F452F" w:rsidRPr="008818CB">
        <w:rPr>
          <w:rFonts w:ascii="Times New Roman" w:hAnsi="Times New Roman" w:cs="Times New Roman"/>
          <w:spacing w:val="-12"/>
          <w:sz w:val="28"/>
          <w:szCs w:val="28"/>
        </w:rPr>
        <w:t>either a Notice of Appeal or an appeal itself.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8F4ACD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8F4ACD" w:rsidRPr="008818CB" w:rsidRDefault="008F4ACD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734663" w:rsidRPr="008818CB" w:rsidRDefault="0098526B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In the circumstance, </w:t>
      </w:r>
      <w:r w:rsidR="005B350E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we are satisfied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that </w:t>
      </w:r>
      <w:r w:rsidR="0073466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counsel for the appellant was correct in challenging </w:t>
      </w:r>
      <w:r w:rsidR="00F651D7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the </w:t>
      </w:r>
      <w:r w:rsidR="00734663" w:rsidRPr="008818CB">
        <w:rPr>
          <w:rFonts w:ascii="Times New Roman" w:hAnsi="Times New Roman" w:cs="Times New Roman"/>
          <w:spacing w:val="-12"/>
          <w:sz w:val="28"/>
          <w:szCs w:val="28"/>
        </w:rPr>
        <w:t>competence of this appeal.</w:t>
      </w:r>
    </w:p>
    <w:p w:rsidR="00734663" w:rsidRPr="008818CB" w:rsidRDefault="00734663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344BFC" w:rsidRPr="008818CB" w:rsidRDefault="00E156A5" w:rsidP="0073466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For the foregoing reasons, </w:t>
      </w:r>
      <w:r w:rsidR="008818CB" w:rsidRPr="008818CB">
        <w:rPr>
          <w:rFonts w:ascii="Times New Roman" w:hAnsi="Times New Roman" w:cs="Times New Roman"/>
          <w:spacing w:val="-12"/>
          <w:sz w:val="28"/>
          <w:szCs w:val="28"/>
        </w:rPr>
        <w:t>we uphold</w:t>
      </w:r>
      <w:r w:rsidR="0073466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the obj</w:t>
      </w:r>
      <w:r w:rsidR="0098526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ection.  </w:t>
      </w:r>
      <w:r w:rsidR="009532C4" w:rsidRPr="008818CB">
        <w:rPr>
          <w:rFonts w:ascii="Times New Roman" w:hAnsi="Times New Roman" w:cs="Times New Roman"/>
          <w:spacing w:val="-12"/>
          <w:sz w:val="28"/>
          <w:szCs w:val="28"/>
        </w:rPr>
        <w:t>We</w:t>
      </w:r>
      <w:r w:rsidR="0098526B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order that the</w:t>
      </w:r>
      <w:r w:rsidR="0073466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appeal </w:t>
      </w: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be </w:t>
      </w:r>
      <w:r w:rsidR="00734663" w:rsidRPr="008818CB">
        <w:rPr>
          <w:rFonts w:ascii="Times New Roman" w:hAnsi="Times New Roman" w:cs="Times New Roman"/>
          <w:spacing w:val="-12"/>
          <w:sz w:val="28"/>
          <w:szCs w:val="28"/>
        </w:rPr>
        <w:t>struck off with costs to the respondent</w:t>
      </w:r>
      <w:r w:rsidR="005D784D" w:rsidRPr="008818C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73466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734663" w:rsidRPr="008818CB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    </w:t>
      </w:r>
    </w:p>
    <w:p w:rsidR="00BE212E" w:rsidRPr="008818CB" w:rsidRDefault="00BE212E" w:rsidP="00EB447B">
      <w:pPr>
        <w:tabs>
          <w:tab w:val="left" w:pos="1240"/>
        </w:tabs>
        <w:spacing w:after="0" w:line="360" w:lineRule="auto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803753" w:rsidRPr="008818CB" w:rsidRDefault="0046544C" w:rsidP="00EB447B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Delivered </w:t>
      </w:r>
      <w:r w:rsidR="009F663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at </w:t>
      </w:r>
      <w:r w:rsidR="009F6633" w:rsidRPr="008818CB">
        <w:rPr>
          <w:rFonts w:ascii="Times New Roman" w:hAnsi="Times New Roman" w:cs="Times New Roman"/>
          <w:b/>
          <w:spacing w:val="-12"/>
          <w:sz w:val="28"/>
          <w:szCs w:val="28"/>
        </w:rPr>
        <w:t>Kampala</w:t>
      </w:r>
      <w:r w:rsidR="009F663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 this …</w:t>
      </w:r>
      <w:r w:rsidR="008818CB" w:rsidRPr="008818CB">
        <w:rPr>
          <w:rFonts w:ascii="Times New Roman" w:hAnsi="Times New Roman" w:cs="Times New Roman"/>
          <w:spacing w:val="-12"/>
          <w:sz w:val="28"/>
          <w:szCs w:val="28"/>
        </w:rPr>
        <w:t>30th</w:t>
      </w:r>
      <w:r w:rsidR="009F6633" w:rsidRPr="008818CB">
        <w:rPr>
          <w:rFonts w:ascii="Times New Roman" w:hAnsi="Times New Roman" w:cs="Times New Roman"/>
          <w:spacing w:val="-12"/>
          <w:sz w:val="28"/>
          <w:szCs w:val="28"/>
        </w:rPr>
        <w:t>……… day of …</w:t>
      </w:r>
      <w:r w:rsidR="008818CB" w:rsidRPr="008818CB">
        <w:rPr>
          <w:rFonts w:ascii="Times New Roman" w:hAnsi="Times New Roman" w:cs="Times New Roman"/>
          <w:spacing w:val="-12"/>
          <w:sz w:val="28"/>
          <w:szCs w:val="28"/>
        </w:rPr>
        <w:t>January</w:t>
      </w:r>
      <w:r w:rsidR="009F6633" w:rsidRPr="008818CB">
        <w:rPr>
          <w:rFonts w:ascii="Times New Roman" w:hAnsi="Times New Roman" w:cs="Times New Roman"/>
          <w:spacing w:val="-12"/>
          <w:sz w:val="28"/>
          <w:szCs w:val="28"/>
        </w:rPr>
        <w:t xml:space="preserve">…...  </w:t>
      </w:r>
      <w:r w:rsidR="008818CB" w:rsidRPr="008818CB">
        <w:rPr>
          <w:rFonts w:ascii="Times New Roman" w:hAnsi="Times New Roman" w:cs="Times New Roman"/>
          <w:b/>
          <w:spacing w:val="-12"/>
          <w:sz w:val="28"/>
          <w:szCs w:val="28"/>
        </w:rPr>
        <w:t>2013</w:t>
      </w:r>
      <w:r w:rsidR="009F6633" w:rsidRPr="008818CB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</w:p>
    <w:p w:rsidR="00D353D9" w:rsidRPr="008818CB" w:rsidRDefault="00D353D9" w:rsidP="00EB447B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_____________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B.J.  Odoki.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Chief Justice.</w:t>
      </w:r>
    </w:p>
    <w:p w:rsidR="009F6633" w:rsidRPr="008818CB" w:rsidRDefault="009F6633" w:rsidP="00EB447B">
      <w:pPr>
        <w:pStyle w:val="ListParagraph"/>
        <w:tabs>
          <w:tab w:val="left" w:pos="12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F6633" w:rsidRPr="008818CB" w:rsidRDefault="009F6633" w:rsidP="00EB447B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_____________</w:t>
      </w:r>
    </w:p>
    <w:p w:rsidR="009F6633" w:rsidRPr="008818CB" w:rsidRDefault="009F6633" w:rsidP="00EB447B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J</w:t>
      </w:r>
      <w:r w:rsidR="00D353D9" w:rsidRPr="008818CB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W</w:t>
      </w:r>
      <w:r w:rsidR="00D353D9" w:rsidRPr="008818CB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N</w:t>
      </w:r>
      <w:r w:rsidR="00D353D9" w:rsidRPr="008818CB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Tsekooko.</w:t>
      </w:r>
    </w:p>
    <w:p w:rsidR="009F6633" w:rsidRPr="008818CB" w:rsidRDefault="009F6633" w:rsidP="00EB447B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Justice of </w:t>
      </w:r>
      <w:r w:rsidR="00E87994" w:rsidRPr="008818CB">
        <w:rPr>
          <w:rFonts w:ascii="Times New Roman" w:hAnsi="Times New Roman" w:cs="Times New Roman"/>
          <w:b/>
          <w:spacing w:val="-12"/>
          <w:sz w:val="28"/>
          <w:szCs w:val="28"/>
        </w:rPr>
        <w:t>the Supreme</w:t>
      </w: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Court.</w:t>
      </w:r>
    </w:p>
    <w:p w:rsidR="00D353D9" w:rsidRPr="008818CB" w:rsidRDefault="00D353D9" w:rsidP="00EB447B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_____________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B.M.  Katureebe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Justice of the Supreme Court.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_____________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J.  Tumwesigye.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Justice of the Supreme Court.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spacing w:val="-12"/>
          <w:sz w:val="28"/>
          <w:szCs w:val="28"/>
        </w:rPr>
        <w:t>_____________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Dr. E.  Kisaakye.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8818CB">
        <w:rPr>
          <w:rFonts w:ascii="Times New Roman" w:hAnsi="Times New Roman" w:cs="Times New Roman"/>
          <w:b/>
          <w:spacing w:val="-12"/>
          <w:sz w:val="28"/>
          <w:szCs w:val="28"/>
        </w:rPr>
        <w:t>Justice of the Supreme Court.</w:t>
      </w: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353D9" w:rsidRPr="008818CB" w:rsidRDefault="00D353D9" w:rsidP="00D353D9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353D9" w:rsidRPr="008818CB" w:rsidRDefault="00D353D9" w:rsidP="00EB447B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sectPr w:rsidR="00D353D9" w:rsidRPr="008818CB" w:rsidSect="009532C4">
      <w:pgSz w:w="11906" w:h="16838"/>
      <w:pgMar w:top="1872" w:right="1152" w:bottom="432" w:left="1872" w:header="706" w:footer="0" w:gutter="0"/>
      <w:lnNumType w:countBy="5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5A" w:rsidRDefault="00904B5A" w:rsidP="000030CA">
      <w:pPr>
        <w:spacing w:after="0" w:line="240" w:lineRule="auto"/>
      </w:pPr>
      <w:r>
        <w:separator/>
      </w:r>
    </w:p>
  </w:endnote>
  <w:endnote w:type="continuationSeparator" w:id="1">
    <w:p w:rsidR="00904B5A" w:rsidRDefault="00904B5A" w:rsidP="0000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5A" w:rsidRDefault="00904B5A" w:rsidP="000030CA">
      <w:pPr>
        <w:spacing w:after="0" w:line="240" w:lineRule="auto"/>
      </w:pPr>
      <w:r>
        <w:separator/>
      </w:r>
    </w:p>
  </w:footnote>
  <w:footnote w:type="continuationSeparator" w:id="1">
    <w:p w:rsidR="00904B5A" w:rsidRDefault="00904B5A" w:rsidP="0000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B1D"/>
    <w:multiLevelType w:val="hybridMultilevel"/>
    <w:tmpl w:val="BFA8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923FC"/>
    <w:multiLevelType w:val="hybridMultilevel"/>
    <w:tmpl w:val="5C188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129A"/>
    <w:multiLevelType w:val="hybridMultilevel"/>
    <w:tmpl w:val="FA1A4EA4"/>
    <w:lvl w:ilvl="0" w:tplc="83D86AEA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B78118E"/>
    <w:multiLevelType w:val="hybridMultilevel"/>
    <w:tmpl w:val="8A1009BC"/>
    <w:lvl w:ilvl="0" w:tplc="6C9C0A90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E7C9D"/>
    <w:multiLevelType w:val="hybridMultilevel"/>
    <w:tmpl w:val="AFA027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5B153C"/>
    <w:multiLevelType w:val="hybridMultilevel"/>
    <w:tmpl w:val="967CA35C"/>
    <w:lvl w:ilvl="0" w:tplc="5386D11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B2302"/>
    <w:multiLevelType w:val="hybridMultilevel"/>
    <w:tmpl w:val="C0EA7BE4"/>
    <w:lvl w:ilvl="0" w:tplc="78C47FE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530F"/>
    <w:multiLevelType w:val="hybridMultilevel"/>
    <w:tmpl w:val="6C3A7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5D4D"/>
    <w:multiLevelType w:val="hybridMultilevel"/>
    <w:tmpl w:val="1FF0A4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F0355"/>
    <w:multiLevelType w:val="hybridMultilevel"/>
    <w:tmpl w:val="04A81DF6"/>
    <w:lvl w:ilvl="0" w:tplc="08090011">
      <w:start w:val="1"/>
      <w:numFmt w:val="decimal"/>
      <w:lvlText w:val="%1)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8E605DC"/>
    <w:multiLevelType w:val="hybridMultilevel"/>
    <w:tmpl w:val="7F6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280D"/>
    <w:multiLevelType w:val="hybridMultilevel"/>
    <w:tmpl w:val="8BEA31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A7112F5"/>
    <w:multiLevelType w:val="hybridMultilevel"/>
    <w:tmpl w:val="7F6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31D5"/>
    <w:multiLevelType w:val="hybridMultilevel"/>
    <w:tmpl w:val="7E88BAC2"/>
    <w:lvl w:ilvl="0" w:tplc="05A29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567FB"/>
    <w:multiLevelType w:val="hybridMultilevel"/>
    <w:tmpl w:val="7F6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02EB"/>
    <w:multiLevelType w:val="hybridMultilevel"/>
    <w:tmpl w:val="3EDA7B72"/>
    <w:lvl w:ilvl="0" w:tplc="3D60E008">
      <w:start w:val="1"/>
      <w:numFmt w:val="decimal"/>
      <w:lvlText w:val="%1."/>
      <w:lvlJc w:val="left"/>
      <w:pPr>
        <w:ind w:left="63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4F43C11"/>
    <w:multiLevelType w:val="hybridMultilevel"/>
    <w:tmpl w:val="7F6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72"/>
    <w:multiLevelType w:val="hybridMultilevel"/>
    <w:tmpl w:val="1640D276"/>
    <w:lvl w:ilvl="0" w:tplc="0809001B">
      <w:start w:val="1"/>
      <w:numFmt w:val="lowerRoman"/>
      <w:lvlText w:val="%1."/>
      <w:lvlJc w:val="righ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8">
    <w:nsid w:val="6F2B101B"/>
    <w:multiLevelType w:val="hybridMultilevel"/>
    <w:tmpl w:val="032041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403681F"/>
    <w:multiLevelType w:val="hybridMultilevel"/>
    <w:tmpl w:val="84A408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654B7"/>
    <w:multiLevelType w:val="hybridMultilevel"/>
    <w:tmpl w:val="5090FEA6"/>
    <w:lvl w:ilvl="0" w:tplc="C7243FFA">
      <w:start w:val="1"/>
      <w:numFmt w:val="lowerRoman"/>
      <w:lvlText w:val="%1)"/>
      <w:lvlJc w:val="left"/>
      <w:pPr>
        <w:ind w:left="195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1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17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6FBB"/>
    <w:rsid w:val="000030CA"/>
    <w:rsid w:val="00003E2C"/>
    <w:rsid w:val="000041C4"/>
    <w:rsid w:val="00007749"/>
    <w:rsid w:val="00014804"/>
    <w:rsid w:val="00014D09"/>
    <w:rsid w:val="00021044"/>
    <w:rsid w:val="000230F4"/>
    <w:rsid w:val="00026447"/>
    <w:rsid w:val="00027463"/>
    <w:rsid w:val="00042BCC"/>
    <w:rsid w:val="0004780E"/>
    <w:rsid w:val="0005043A"/>
    <w:rsid w:val="000549D1"/>
    <w:rsid w:val="00074A05"/>
    <w:rsid w:val="000801E4"/>
    <w:rsid w:val="00081F45"/>
    <w:rsid w:val="000A125A"/>
    <w:rsid w:val="000A4187"/>
    <w:rsid w:val="000A4467"/>
    <w:rsid w:val="000A4470"/>
    <w:rsid w:val="000A4EC9"/>
    <w:rsid w:val="000C0CD0"/>
    <w:rsid w:val="000C1705"/>
    <w:rsid w:val="000C413C"/>
    <w:rsid w:val="000C69C7"/>
    <w:rsid w:val="000D0D5B"/>
    <w:rsid w:val="000D10C2"/>
    <w:rsid w:val="000D485D"/>
    <w:rsid w:val="000D6262"/>
    <w:rsid w:val="000D6415"/>
    <w:rsid w:val="000E0446"/>
    <w:rsid w:val="000E085D"/>
    <w:rsid w:val="000E24A3"/>
    <w:rsid w:val="000E500B"/>
    <w:rsid w:val="000F1A05"/>
    <w:rsid w:val="000F3C7E"/>
    <w:rsid w:val="000F6386"/>
    <w:rsid w:val="000F7214"/>
    <w:rsid w:val="00102679"/>
    <w:rsid w:val="001030DE"/>
    <w:rsid w:val="0010767C"/>
    <w:rsid w:val="00140668"/>
    <w:rsid w:val="001471C7"/>
    <w:rsid w:val="001626B3"/>
    <w:rsid w:val="0016498D"/>
    <w:rsid w:val="0017180E"/>
    <w:rsid w:val="001851E8"/>
    <w:rsid w:val="001914DD"/>
    <w:rsid w:val="001946F1"/>
    <w:rsid w:val="001A3B23"/>
    <w:rsid w:val="001B0F7F"/>
    <w:rsid w:val="001C299E"/>
    <w:rsid w:val="001D071E"/>
    <w:rsid w:val="001E048D"/>
    <w:rsid w:val="001E56F3"/>
    <w:rsid w:val="001E71C7"/>
    <w:rsid w:val="001E7B30"/>
    <w:rsid w:val="001F4205"/>
    <w:rsid w:val="001F7570"/>
    <w:rsid w:val="00202ED7"/>
    <w:rsid w:val="002044D2"/>
    <w:rsid w:val="002108AB"/>
    <w:rsid w:val="00221209"/>
    <w:rsid w:val="002263B6"/>
    <w:rsid w:val="002314BD"/>
    <w:rsid w:val="002328F1"/>
    <w:rsid w:val="002352DC"/>
    <w:rsid w:val="00251B44"/>
    <w:rsid w:val="002544FE"/>
    <w:rsid w:val="002603E8"/>
    <w:rsid w:val="00267FCB"/>
    <w:rsid w:val="00275F6F"/>
    <w:rsid w:val="00282C80"/>
    <w:rsid w:val="00282D1F"/>
    <w:rsid w:val="002909D1"/>
    <w:rsid w:val="00292604"/>
    <w:rsid w:val="00294775"/>
    <w:rsid w:val="002A315E"/>
    <w:rsid w:val="002A32A7"/>
    <w:rsid w:val="002A5884"/>
    <w:rsid w:val="002A6B32"/>
    <w:rsid w:val="002B365D"/>
    <w:rsid w:val="002D042D"/>
    <w:rsid w:val="002D1B33"/>
    <w:rsid w:val="002E0A3B"/>
    <w:rsid w:val="002E5F88"/>
    <w:rsid w:val="002F1DE8"/>
    <w:rsid w:val="003006BF"/>
    <w:rsid w:val="00303540"/>
    <w:rsid w:val="00304280"/>
    <w:rsid w:val="003053FF"/>
    <w:rsid w:val="00315C82"/>
    <w:rsid w:val="00315F34"/>
    <w:rsid w:val="00321ACD"/>
    <w:rsid w:val="0032595C"/>
    <w:rsid w:val="0032676B"/>
    <w:rsid w:val="00336FBB"/>
    <w:rsid w:val="00341850"/>
    <w:rsid w:val="00344BFC"/>
    <w:rsid w:val="00350D77"/>
    <w:rsid w:val="00352D9E"/>
    <w:rsid w:val="003569CB"/>
    <w:rsid w:val="003619AF"/>
    <w:rsid w:val="00363EC2"/>
    <w:rsid w:val="00374354"/>
    <w:rsid w:val="00375F42"/>
    <w:rsid w:val="0038386B"/>
    <w:rsid w:val="003926B9"/>
    <w:rsid w:val="00392F5E"/>
    <w:rsid w:val="003C1CBE"/>
    <w:rsid w:val="003C6162"/>
    <w:rsid w:val="003C6D89"/>
    <w:rsid w:val="003D576A"/>
    <w:rsid w:val="003D6764"/>
    <w:rsid w:val="003E718A"/>
    <w:rsid w:val="003F6753"/>
    <w:rsid w:val="00402BBF"/>
    <w:rsid w:val="00403742"/>
    <w:rsid w:val="00404427"/>
    <w:rsid w:val="0040717D"/>
    <w:rsid w:val="004110F2"/>
    <w:rsid w:val="0041213D"/>
    <w:rsid w:val="0041567E"/>
    <w:rsid w:val="00416BC7"/>
    <w:rsid w:val="004365EF"/>
    <w:rsid w:val="00436648"/>
    <w:rsid w:val="00450892"/>
    <w:rsid w:val="00450B33"/>
    <w:rsid w:val="00451CB1"/>
    <w:rsid w:val="00452B0C"/>
    <w:rsid w:val="0045797C"/>
    <w:rsid w:val="00460E0F"/>
    <w:rsid w:val="0046544C"/>
    <w:rsid w:val="004708EB"/>
    <w:rsid w:val="004741F0"/>
    <w:rsid w:val="004779D6"/>
    <w:rsid w:val="004805A2"/>
    <w:rsid w:val="00482BE6"/>
    <w:rsid w:val="00490046"/>
    <w:rsid w:val="0049190D"/>
    <w:rsid w:val="00491D9A"/>
    <w:rsid w:val="00493F88"/>
    <w:rsid w:val="00497BF9"/>
    <w:rsid w:val="004A0C43"/>
    <w:rsid w:val="004A6D52"/>
    <w:rsid w:val="004A6DEE"/>
    <w:rsid w:val="004B1B49"/>
    <w:rsid w:val="004B230B"/>
    <w:rsid w:val="004B495A"/>
    <w:rsid w:val="004C1B7C"/>
    <w:rsid w:val="004D1432"/>
    <w:rsid w:val="004D35A8"/>
    <w:rsid w:val="004D7DD1"/>
    <w:rsid w:val="004E063E"/>
    <w:rsid w:val="004E115B"/>
    <w:rsid w:val="004E2FCF"/>
    <w:rsid w:val="004E57F8"/>
    <w:rsid w:val="00511331"/>
    <w:rsid w:val="00512610"/>
    <w:rsid w:val="00514A22"/>
    <w:rsid w:val="00524E1D"/>
    <w:rsid w:val="005302F7"/>
    <w:rsid w:val="0053200F"/>
    <w:rsid w:val="0053617C"/>
    <w:rsid w:val="00547E30"/>
    <w:rsid w:val="00553368"/>
    <w:rsid w:val="00561496"/>
    <w:rsid w:val="00561F79"/>
    <w:rsid w:val="00565181"/>
    <w:rsid w:val="00571123"/>
    <w:rsid w:val="00580B00"/>
    <w:rsid w:val="00582601"/>
    <w:rsid w:val="00586003"/>
    <w:rsid w:val="00587196"/>
    <w:rsid w:val="00587E48"/>
    <w:rsid w:val="005A28E9"/>
    <w:rsid w:val="005A340D"/>
    <w:rsid w:val="005A63C2"/>
    <w:rsid w:val="005B34F2"/>
    <w:rsid w:val="005B350E"/>
    <w:rsid w:val="005B61EA"/>
    <w:rsid w:val="005C10CC"/>
    <w:rsid w:val="005D784D"/>
    <w:rsid w:val="005D7F8C"/>
    <w:rsid w:val="005E4B5B"/>
    <w:rsid w:val="005E4F67"/>
    <w:rsid w:val="005E6C94"/>
    <w:rsid w:val="005E79CB"/>
    <w:rsid w:val="005F5151"/>
    <w:rsid w:val="005F614F"/>
    <w:rsid w:val="006000C1"/>
    <w:rsid w:val="00601A9D"/>
    <w:rsid w:val="00605E87"/>
    <w:rsid w:val="00607EE4"/>
    <w:rsid w:val="00612AC7"/>
    <w:rsid w:val="006324A1"/>
    <w:rsid w:val="00632CEE"/>
    <w:rsid w:val="00637636"/>
    <w:rsid w:val="00641A5A"/>
    <w:rsid w:val="00644567"/>
    <w:rsid w:val="006558B6"/>
    <w:rsid w:val="006642BA"/>
    <w:rsid w:val="00665607"/>
    <w:rsid w:val="0066732E"/>
    <w:rsid w:val="00677516"/>
    <w:rsid w:val="00677E26"/>
    <w:rsid w:val="00680F18"/>
    <w:rsid w:val="00687143"/>
    <w:rsid w:val="00693290"/>
    <w:rsid w:val="006A049D"/>
    <w:rsid w:val="006A5335"/>
    <w:rsid w:val="006A6627"/>
    <w:rsid w:val="006A7B5A"/>
    <w:rsid w:val="006B3A56"/>
    <w:rsid w:val="006B5E84"/>
    <w:rsid w:val="006C2F1F"/>
    <w:rsid w:val="006C372C"/>
    <w:rsid w:val="006D76D7"/>
    <w:rsid w:val="006E6A56"/>
    <w:rsid w:val="006F452F"/>
    <w:rsid w:val="0072650D"/>
    <w:rsid w:val="00734663"/>
    <w:rsid w:val="00745B92"/>
    <w:rsid w:val="00746B59"/>
    <w:rsid w:val="00746E8E"/>
    <w:rsid w:val="00747A04"/>
    <w:rsid w:val="00747C98"/>
    <w:rsid w:val="0075127A"/>
    <w:rsid w:val="00751AFC"/>
    <w:rsid w:val="00751FC8"/>
    <w:rsid w:val="007535DD"/>
    <w:rsid w:val="007648F4"/>
    <w:rsid w:val="007649BC"/>
    <w:rsid w:val="007805B9"/>
    <w:rsid w:val="007828D6"/>
    <w:rsid w:val="00782BF4"/>
    <w:rsid w:val="00787082"/>
    <w:rsid w:val="00787F75"/>
    <w:rsid w:val="00796318"/>
    <w:rsid w:val="0079660A"/>
    <w:rsid w:val="00797DAA"/>
    <w:rsid w:val="007A7EE5"/>
    <w:rsid w:val="007B0CBC"/>
    <w:rsid w:val="007B3D29"/>
    <w:rsid w:val="007B7251"/>
    <w:rsid w:val="007C571C"/>
    <w:rsid w:val="007C7993"/>
    <w:rsid w:val="007D4DD3"/>
    <w:rsid w:val="007D5E17"/>
    <w:rsid w:val="007D642C"/>
    <w:rsid w:val="007D7154"/>
    <w:rsid w:val="007D71E8"/>
    <w:rsid w:val="007E09B8"/>
    <w:rsid w:val="007E2ACB"/>
    <w:rsid w:val="007E5720"/>
    <w:rsid w:val="007F3047"/>
    <w:rsid w:val="007F3DD4"/>
    <w:rsid w:val="007F3F6C"/>
    <w:rsid w:val="007F4E2E"/>
    <w:rsid w:val="007F56BA"/>
    <w:rsid w:val="007F787D"/>
    <w:rsid w:val="00800696"/>
    <w:rsid w:val="00802999"/>
    <w:rsid w:val="00803753"/>
    <w:rsid w:val="008121FD"/>
    <w:rsid w:val="00813AD9"/>
    <w:rsid w:val="0081659C"/>
    <w:rsid w:val="00820036"/>
    <w:rsid w:val="00823DF6"/>
    <w:rsid w:val="00826117"/>
    <w:rsid w:val="008348E9"/>
    <w:rsid w:val="00842A05"/>
    <w:rsid w:val="00847768"/>
    <w:rsid w:val="00851AD3"/>
    <w:rsid w:val="008558FF"/>
    <w:rsid w:val="00861BCD"/>
    <w:rsid w:val="00873D0B"/>
    <w:rsid w:val="008808B1"/>
    <w:rsid w:val="008818CB"/>
    <w:rsid w:val="00882928"/>
    <w:rsid w:val="00883ACF"/>
    <w:rsid w:val="00893308"/>
    <w:rsid w:val="00895A14"/>
    <w:rsid w:val="008A4B2F"/>
    <w:rsid w:val="008B4EA7"/>
    <w:rsid w:val="008B72FE"/>
    <w:rsid w:val="008B7448"/>
    <w:rsid w:val="008C5A06"/>
    <w:rsid w:val="008D296D"/>
    <w:rsid w:val="008E0D9D"/>
    <w:rsid w:val="008E428F"/>
    <w:rsid w:val="008E6345"/>
    <w:rsid w:val="008F1895"/>
    <w:rsid w:val="008F37D8"/>
    <w:rsid w:val="008F4ACD"/>
    <w:rsid w:val="008F7127"/>
    <w:rsid w:val="008F72D3"/>
    <w:rsid w:val="00904B5A"/>
    <w:rsid w:val="009075A2"/>
    <w:rsid w:val="009144ED"/>
    <w:rsid w:val="00930382"/>
    <w:rsid w:val="00932F71"/>
    <w:rsid w:val="009400B5"/>
    <w:rsid w:val="009532C4"/>
    <w:rsid w:val="0095339B"/>
    <w:rsid w:val="00954299"/>
    <w:rsid w:val="00962FC2"/>
    <w:rsid w:val="00967744"/>
    <w:rsid w:val="009805C4"/>
    <w:rsid w:val="0098291A"/>
    <w:rsid w:val="0098462C"/>
    <w:rsid w:val="0098526B"/>
    <w:rsid w:val="009857F3"/>
    <w:rsid w:val="00985BA4"/>
    <w:rsid w:val="009863D8"/>
    <w:rsid w:val="00996DC3"/>
    <w:rsid w:val="009A0D09"/>
    <w:rsid w:val="009A46B3"/>
    <w:rsid w:val="009B38C1"/>
    <w:rsid w:val="009D2237"/>
    <w:rsid w:val="009D64D8"/>
    <w:rsid w:val="009E0682"/>
    <w:rsid w:val="009E0C42"/>
    <w:rsid w:val="009F22C7"/>
    <w:rsid w:val="009F61A2"/>
    <w:rsid w:val="009F6633"/>
    <w:rsid w:val="00A157E8"/>
    <w:rsid w:val="00A158F5"/>
    <w:rsid w:val="00A1642C"/>
    <w:rsid w:val="00A20F27"/>
    <w:rsid w:val="00A211D9"/>
    <w:rsid w:val="00A21E3E"/>
    <w:rsid w:val="00A266B9"/>
    <w:rsid w:val="00A32BFE"/>
    <w:rsid w:val="00A36204"/>
    <w:rsid w:val="00A46EEA"/>
    <w:rsid w:val="00A54011"/>
    <w:rsid w:val="00A561C2"/>
    <w:rsid w:val="00A564B8"/>
    <w:rsid w:val="00A61F8F"/>
    <w:rsid w:val="00A62F64"/>
    <w:rsid w:val="00A66EF8"/>
    <w:rsid w:val="00A72B64"/>
    <w:rsid w:val="00A73FB5"/>
    <w:rsid w:val="00A807B8"/>
    <w:rsid w:val="00A842C4"/>
    <w:rsid w:val="00A94110"/>
    <w:rsid w:val="00A96813"/>
    <w:rsid w:val="00A97B87"/>
    <w:rsid w:val="00AA3876"/>
    <w:rsid w:val="00AB0C96"/>
    <w:rsid w:val="00AB703B"/>
    <w:rsid w:val="00AD3199"/>
    <w:rsid w:val="00AD497B"/>
    <w:rsid w:val="00AD6DBA"/>
    <w:rsid w:val="00AD798E"/>
    <w:rsid w:val="00AE1384"/>
    <w:rsid w:val="00AE215C"/>
    <w:rsid w:val="00AE7DC6"/>
    <w:rsid w:val="00AF20AD"/>
    <w:rsid w:val="00AF6636"/>
    <w:rsid w:val="00B0209B"/>
    <w:rsid w:val="00B0332E"/>
    <w:rsid w:val="00B044DD"/>
    <w:rsid w:val="00B04D71"/>
    <w:rsid w:val="00B056ED"/>
    <w:rsid w:val="00B13369"/>
    <w:rsid w:val="00B137A9"/>
    <w:rsid w:val="00B20FA7"/>
    <w:rsid w:val="00B242B7"/>
    <w:rsid w:val="00B2451B"/>
    <w:rsid w:val="00B4226D"/>
    <w:rsid w:val="00B46D99"/>
    <w:rsid w:val="00B515CA"/>
    <w:rsid w:val="00B56EA2"/>
    <w:rsid w:val="00B636CE"/>
    <w:rsid w:val="00B72E03"/>
    <w:rsid w:val="00B76B5F"/>
    <w:rsid w:val="00B82F68"/>
    <w:rsid w:val="00B8313F"/>
    <w:rsid w:val="00B83F0F"/>
    <w:rsid w:val="00B83F3C"/>
    <w:rsid w:val="00B87FB1"/>
    <w:rsid w:val="00B970B5"/>
    <w:rsid w:val="00BA35A3"/>
    <w:rsid w:val="00BA57EE"/>
    <w:rsid w:val="00BA7A63"/>
    <w:rsid w:val="00BB4FE5"/>
    <w:rsid w:val="00BB7FC3"/>
    <w:rsid w:val="00BC3F06"/>
    <w:rsid w:val="00BD4C84"/>
    <w:rsid w:val="00BE212E"/>
    <w:rsid w:val="00BE7340"/>
    <w:rsid w:val="00C127F2"/>
    <w:rsid w:val="00C20399"/>
    <w:rsid w:val="00C2072B"/>
    <w:rsid w:val="00C34FFA"/>
    <w:rsid w:val="00C36CC8"/>
    <w:rsid w:val="00C40224"/>
    <w:rsid w:val="00C546F6"/>
    <w:rsid w:val="00C61A3A"/>
    <w:rsid w:val="00C64069"/>
    <w:rsid w:val="00C6577B"/>
    <w:rsid w:val="00C762DA"/>
    <w:rsid w:val="00C86E7B"/>
    <w:rsid w:val="00C904A6"/>
    <w:rsid w:val="00C909C0"/>
    <w:rsid w:val="00C90A62"/>
    <w:rsid w:val="00CA0748"/>
    <w:rsid w:val="00CA238E"/>
    <w:rsid w:val="00CA7CF6"/>
    <w:rsid w:val="00CB76A6"/>
    <w:rsid w:val="00CC17B6"/>
    <w:rsid w:val="00CC5996"/>
    <w:rsid w:val="00CD0AC3"/>
    <w:rsid w:val="00CD1AA6"/>
    <w:rsid w:val="00CD1B0B"/>
    <w:rsid w:val="00CD1C5F"/>
    <w:rsid w:val="00CD5087"/>
    <w:rsid w:val="00CE1AAA"/>
    <w:rsid w:val="00CE4230"/>
    <w:rsid w:val="00CF7EB8"/>
    <w:rsid w:val="00D01E56"/>
    <w:rsid w:val="00D047EB"/>
    <w:rsid w:val="00D128B7"/>
    <w:rsid w:val="00D15E8C"/>
    <w:rsid w:val="00D16185"/>
    <w:rsid w:val="00D33418"/>
    <w:rsid w:val="00D353D9"/>
    <w:rsid w:val="00D40A1B"/>
    <w:rsid w:val="00D428AE"/>
    <w:rsid w:val="00D51010"/>
    <w:rsid w:val="00D6062E"/>
    <w:rsid w:val="00D66BAB"/>
    <w:rsid w:val="00D67B6D"/>
    <w:rsid w:val="00D72100"/>
    <w:rsid w:val="00D80A49"/>
    <w:rsid w:val="00D862BB"/>
    <w:rsid w:val="00D90361"/>
    <w:rsid w:val="00D90500"/>
    <w:rsid w:val="00D9195A"/>
    <w:rsid w:val="00DA0D5D"/>
    <w:rsid w:val="00DA292C"/>
    <w:rsid w:val="00DA5CD7"/>
    <w:rsid w:val="00DC4F70"/>
    <w:rsid w:val="00DD6735"/>
    <w:rsid w:val="00DE36B1"/>
    <w:rsid w:val="00DE4DCB"/>
    <w:rsid w:val="00DE4FC3"/>
    <w:rsid w:val="00DE64A4"/>
    <w:rsid w:val="00DF4FA5"/>
    <w:rsid w:val="00DF7C5F"/>
    <w:rsid w:val="00E108A8"/>
    <w:rsid w:val="00E109F0"/>
    <w:rsid w:val="00E156A5"/>
    <w:rsid w:val="00E22750"/>
    <w:rsid w:val="00E2555D"/>
    <w:rsid w:val="00E27FCC"/>
    <w:rsid w:val="00E359AA"/>
    <w:rsid w:val="00E36704"/>
    <w:rsid w:val="00E46017"/>
    <w:rsid w:val="00E55159"/>
    <w:rsid w:val="00E66947"/>
    <w:rsid w:val="00E66BDD"/>
    <w:rsid w:val="00E746AB"/>
    <w:rsid w:val="00E87994"/>
    <w:rsid w:val="00E92BE7"/>
    <w:rsid w:val="00E97381"/>
    <w:rsid w:val="00EA2C0F"/>
    <w:rsid w:val="00EA3BA5"/>
    <w:rsid w:val="00EA651B"/>
    <w:rsid w:val="00EB3849"/>
    <w:rsid w:val="00EB447B"/>
    <w:rsid w:val="00EB75C4"/>
    <w:rsid w:val="00EC056C"/>
    <w:rsid w:val="00ED5283"/>
    <w:rsid w:val="00EF1227"/>
    <w:rsid w:val="00EF2704"/>
    <w:rsid w:val="00EF7DBD"/>
    <w:rsid w:val="00F116B6"/>
    <w:rsid w:val="00F1351F"/>
    <w:rsid w:val="00F1642D"/>
    <w:rsid w:val="00F368D8"/>
    <w:rsid w:val="00F36D5A"/>
    <w:rsid w:val="00F4124E"/>
    <w:rsid w:val="00F46508"/>
    <w:rsid w:val="00F51ACF"/>
    <w:rsid w:val="00F5387A"/>
    <w:rsid w:val="00F56593"/>
    <w:rsid w:val="00F5717E"/>
    <w:rsid w:val="00F651D7"/>
    <w:rsid w:val="00F66B1F"/>
    <w:rsid w:val="00F67FEE"/>
    <w:rsid w:val="00F73B47"/>
    <w:rsid w:val="00F7714E"/>
    <w:rsid w:val="00F86683"/>
    <w:rsid w:val="00F91157"/>
    <w:rsid w:val="00F94CD3"/>
    <w:rsid w:val="00FA0D70"/>
    <w:rsid w:val="00FA4BE0"/>
    <w:rsid w:val="00FA7BDE"/>
    <w:rsid w:val="00FB3DAA"/>
    <w:rsid w:val="00FB517B"/>
    <w:rsid w:val="00FC00CA"/>
    <w:rsid w:val="00FD112B"/>
    <w:rsid w:val="00FD4656"/>
    <w:rsid w:val="00FD6C01"/>
    <w:rsid w:val="00FE1549"/>
    <w:rsid w:val="00FE3325"/>
    <w:rsid w:val="00FE42B6"/>
    <w:rsid w:val="00FE75D4"/>
    <w:rsid w:val="00FF0EAB"/>
    <w:rsid w:val="00FF44CD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D7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30"/>
    <w:pPr>
      <w:ind w:left="720"/>
    </w:pPr>
  </w:style>
  <w:style w:type="character" w:styleId="Hyperlink">
    <w:name w:val="Hyperlink"/>
    <w:basedOn w:val="DefaultParagraphFont"/>
    <w:uiPriority w:val="99"/>
    <w:rsid w:val="007E2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0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0CA"/>
  </w:style>
  <w:style w:type="paragraph" w:styleId="Footer">
    <w:name w:val="footer"/>
    <w:basedOn w:val="Normal"/>
    <w:link w:val="FooterChar"/>
    <w:uiPriority w:val="99"/>
    <w:rsid w:val="0000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0CA"/>
  </w:style>
  <w:style w:type="paragraph" w:styleId="BalloonText">
    <w:name w:val="Balloon Text"/>
    <w:basedOn w:val="Normal"/>
    <w:link w:val="BalloonTextChar"/>
    <w:uiPriority w:val="99"/>
    <w:semiHidden/>
    <w:unhideWhenUsed/>
    <w:rsid w:val="009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33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9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REPUBLIC OF UGANDA</vt:lpstr>
    </vt:vector>
  </TitlesOfParts>
  <Company>Semuyaba Iga &amp; Co. Advocates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UGANDA</dc:title>
  <dc:creator>Bedah</dc:creator>
  <cp:lastModifiedBy>jmugala</cp:lastModifiedBy>
  <cp:revision>2</cp:revision>
  <cp:lastPrinted>2013-01-21T13:52:00Z</cp:lastPrinted>
  <dcterms:created xsi:type="dcterms:W3CDTF">2013-01-31T14:03:00Z</dcterms:created>
  <dcterms:modified xsi:type="dcterms:W3CDTF">2013-01-31T14:03:00Z</dcterms:modified>
</cp:coreProperties>
</file>