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D8" w:rsidRPr="000D2BD8" w:rsidRDefault="00D14AD8" w:rsidP="00D14AD8">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IN THE HIGH OF UGANDA AT KAMPALA</w:t>
      </w:r>
    </w:p>
    <w:p w:rsidR="00D14AD8" w:rsidRPr="000D2BD8" w:rsidRDefault="00D14AD8" w:rsidP="00D14AD8">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D14AD8" w:rsidRPr="000D2BD8" w:rsidRDefault="00D14AD8" w:rsidP="00D14AD8">
      <w:pPr>
        <w:pStyle w:val="NoSpacing"/>
        <w:jc w:val="center"/>
        <w:rPr>
          <w:rFonts w:ascii="Times New Roman" w:hAnsi="Times New Roman"/>
          <w:b/>
          <w:sz w:val="24"/>
          <w:szCs w:val="24"/>
        </w:rPr>
      </w:pPr>
      <w:proofErr w:type="gramStart"/>
      <w:r w:rsidRPr="000D2BD8">
        <w:rPr>
          <w:rFonts w:ascii="Times New Roman" w:hAnsi="Times New Roman"/>
          <w:b/>
          <w:sz w:val="24"/>
          <w:szCs w:val="24"/>
        </w:rPr>
        <w:t>MISCELLANEOUS CAUSE NO.</w:t>
      </w:r>
      <w:proofErr w:type="gramEnd"/>
      <w:r w:rsidRPr="000D2BD8">
        <w:rPr>
          <w:rFonts w:ascii="Times New Roman" w:hAnsi="Times New Roman"/>
          <w:b/>
          <w:sz w:val="24"/>
          <w:szCs w:val="24"/>
        </w:rPr>
        <w:t xml:space="preserve"> 34 OF 2012</w:t>
      </w:r>
    </w:p>
    <w:p w:rsidR="00D14AD8" w:rsidRPr="000D2BD8" w:rsidRDefault="00D14AD8" w:rsidP="00D14AD8">
      <w:pPr>
        <w:pStyle w:val="NoSpacing"/>
        <w:jc w:val="center"/>
        <w:rPr>
          <w:rFonts w:ascii="Times New Roman" w:hAnsi="Times New Roman"/>
          <w:b/>
          <w:sz w:val="24"/>
          <w:szCs w:val="24"/>
        </w:rPr>
      </w:pPr>
    </w:p>
    <w:p w:rsidR="00D14AD8" w:rsidRPr="000D2BD8" w:rsidRDefault="00D14AD8" w:rsidP="00D14AD8">
      <w:pPr>
        <w:pStyle w:val="NoSpacing"/>
        <w:rPr>
          <w:rFonts w:ascii="Times New Roman" w:hAnsi="Times New Roman"/>
          <w:b/>
          <w:sz w:val="24"/>
          <w:szCs w:val="24"/>
        </w:rPr>
      </w:pPr>
      <w:r w:rsidRPr="000D2BD8">
        <w:rPr>
          <w:rFonts w:ascii="Times New Roman" w:hAnsi="Times New Roman"/>
          <w:b/>
          <w:sz w:val="24"/>
          <w:szCs w:val="24"/>
        </w:rPr>
        <w:t xml:space="preserve">MARIE PINTO  </w:t>
      </w:r>
    </w:p>
    <w:p w:rsidR="00D14AD8" w:rsidRPr="000D2BD8" w:rsidRDefault="00D14AD8" w:rsidP="00D14AD8">
      <w:pPr>
        <w:pStyle w:val="NoSpacing"/>
        <w:rPr>
          <w:rFonts w:ascii="Times New Roman" w:hAnsi="Times New Roman"/>
          <w:b/>
          <w:sz w:val="24"/>
          <w:szCs w:val="24"/>
        </w:rPr>
      </w:pPr>
      <w:r w:rsidRPr="000D2BD8">
        <w:rPr>
          <w:rFonts w:ascii="Times New Roman" w:hAnsi="Times New Roman"/>
          <w:b/>
          <w:sz w:val="24"/>
          <w:szCs w:val="24"/>
        </w:rPr>
        <w:t xml:space="preserve">(THE ADMINISTRATOR OF THE ESTATE OF </w:t>
      </w:r>
    </w:p>
    <w:p w:rsidR="00D14AD8" w:rsidRPr="000D2BD8" w:rsidRDefault="00D14AD8" w:rsidP="00D14AD8">
      <w:pPr>
        <w:pStyle w:val="NoSpacing"/>
        <w:rPr>
          <w:rFonts w:ascii="Times New Roman" w:hAnsi="Times New Roman"/>
          <w:b/>
          <w:sz w:val="24"/>
          <w:szCs w:val="24"/>
        </w:rPr>
      </w:pPr>
      <w:r w:rsidRPr="000D2BD8">
        <w:rPr>
          <w:rFonts w:ascii="Times New Roman" w:hAnsi="Times New Roman"/>
          <w:b/>
          <w:sz w:val="24"/>
          <w:szCs w:val="24"/>
        </w:rPr>
        <w:t xml:space="preserve">THE LATE MANUEL PINTO) </w:t>
      </w:r>
      <w:r>
        <w:rPr>
          <w:rFonts w:ascii="Times New Roman" w:hAnsi="Times New Roman"/>
          <w:b/>
          <w:sz w:val="24"/>
          <w:szCs w:val="24"/>
        </w:rPr>
        <w:t>…………………………………………</w:t>
      </w:r>
      <w:r w:rsidRPr="000D2BD8">
        <w:rPr>
          <w:rFonts w:ascii="Times New Roman" w:hAnsi="Times New Roman"/>
          <w:b/>
          <w:sz w:val="24"/>
          <w:szCs w:val="24"/>
        </w:rPr>
        <w:t xml:space="preserve">…….  APPLICANT </w:t>
      </w:r>
    </w:p>
    <w:p w:rsidR="00D14AD8" w:rsidRPr="000D2BD8" w:rsidRDefault="00D14AD8" w:rsidP="00D14AD8">
      <w:pPr>
        <w:spacing w:line="240" w:lineRule="auto"/>
        <w:jc w:val="center"/>
        <w:rPr>
          <w:rFonts w:ascii="Times New Roman" w:hAnsi="Times New Roman"/>
          <w:b/>
          <w:sz w:val="24"/>
          <w:szCs w:val="24"/>
        </w:rPr>
      </w:pPr>
      <w:r w:rsidRPr="000D2BD8">
        <w:rPr>
          <w:rFonts w:ascii="Times New Roman" w:hAnsi="Times New Roman"/>
          <w:b/>
          <w:sz w:val="24"/>
          <w:szCs w:val="24"/>
        </w:rPr>
        <w:t>VERSUS</w:t>
      </w:r>
    </w:p>
    <w:p w:rsidR="00D14AD8" w:rsidRPr="000D2BD8" w:rsidRDefault="00D14AD8" w:rsidP="00D14AD8">
      <w:pPr>
        <w:pStyle w:val="ListParagraph"/>
        <w:numPr>
          <w:ilvl w:val="0"/>
          <w:numId w:val="1"/>
        </w:numPr>
        <w:spacing w:line="240" w:lineRule="auto"/>
        <w:ind w:left="360"/>
        <w:rPr>
          <w:rFonts w:ascii="Times New Roman" w:hAnsi="Times New Roman" w:cs="Times New Roman"/>
          <w:b/>
          <w:sz w:val="24"/>
          <w:szCs w:val="24"/>
        </w:rPr>
      </w:pPr>
      <w:r w:rsidRPr="000D2BD8">
        <w:rPr>
          <w:rFonts w:ascii="Times New Roman" w:hAnsi="Times New Roman" w:cs="Times New Roman"/>
          <w:b/>
          <w:sz w:val="24"/>
          <w:szCs w:val="24"/>
        </w:rPr>
        <w:t>DENISE WALTER</w:t>
      </w:r>
    </w:p>
    <w:p w:rsidR="00D14AD8" w:rsidRPr="000D2BD8" w:rsidRDefault="00D14AD8" w:rsidP="00D14AD8">
      <w:pPr>
        <w:pStyle w:val="ListParagraph"/>
        <w:numPr>
          <w:ilvl w:val="0"/>
          <w:numId w:val="1"/>
        </w:numPr>
        <w:spacing w:line="240" w:lineRule="auto"/>
        <w:ind w:left="360"/>
        <w:rPr>
          <w:rFonts w:ascii="Times New Roman" w:hAnsi="Times New Roman" w:cs="Times New Roman"/>
          <w:b/>
          <w:sz w:val="24"/>
          <w:szCs w:val="24"/>
        </w:rPr>
      </w:pPr>
      <w:r w:rsidRPr="000D2BD8">
        <w:rPr>
          <w:rFonts w:ascii="Times New Roman" w:hAnsi="Times New Roman" w:cs="Times New Roman"/>
          <w:b/>
          <w:sz w:val="24"/>
          <w:szCs w:val="24"/>
        </w:rPr>
        <w:t>SHARIF MOHAMMED OMAR</w:t>
      </w:r>
      <w:r>
        <w:rPr>
          <w:rFonts w:ascii="Times New Roman" w:hAnsi="Times New Roman" w:cs="Times New Roman"/>
          <w:b/>
          <w:sz w:val="24"/>
          <w:szCs w:val="24"/>
        </w:rPr>
        <w:t>………………………………………</w:t>
      </w:r>
      <w:r w:rsidRPr="000D2BD8">
        <w:rPr>
          <w:rFonts w:ascii="Times New Roman" w:hAnsi="Times New Roman" w:cs="Times New Roman"/>
          <w:b/>
          <w:sz w:val="24"/>
          <w:szCs w:val="24"/>
        </w:rPr>
        <w:t>.  RESPONDENTS</w:t>
      </w:r>
    </w:p>
    <w:p w:rsidR="00D14AD8" w:rsidRPr="000D2BD8" w:rsidRDefault="00D14AD8" w:rsidP="00D14AD8">
      <w:pPr>
        <w:pStyle w:val="ListParagraph"/>
        <w:numPr>
          <w:ilvl w:val="0"/>
          <w:numId w:val="1"/>
        </w:numPr>
        <w:spacing w:line="240" w:lineRule="auto"/>
        <w:ind w:left="360"/>
        <w:rPr>
          <w:rFonts w:ascii="Times New Roman" w:hAnsi="Times New Roman" w:cs="Times New Roman"/>
          <w:b/>
          <w:sz w:val="24"/>
          <w:szCs w:val="24"/>
        </w:rPr>
      </w:pPr>
      <w:r w:rsidRPr="000D2BD8">
        <w:rPr>
          <w:rFonts w:ascii="Times New Roman" w:hAnsi="Times New Roman" w:cs="Times New Roman"/>
          <w:b/>
          <w:sz w:val="24"/>
          <w:szCs w:val="24"/>
        </w:rPr>
        <w:t>JOSEPH KIGANDA</w:t>
      </w:r>
    </w:p>
    <w:p w:rsidR="00D14AD8" w:rsidRPr="000D2BD8" w:rsidRDefault="00D14AD8" w:rsidP="00D14AD8">
      <w:pPr>
        <w:pStyle w:val="ListParagraph"/>
        <w:numPr>
          <w:ilvl w:val="0"/>
          <w:numId w:val="1"/>
        </w:numPr>
        <w:spacing w:line="240" w:lineRule="auto"/>
        <w:ind w:left="360"/>
        <w:rPr>
          <w:rFonts w:ascii="Times New Roman" w:hAnsi="Times New Roman" w:cs="Times New Roman"/>
          <w:b/>
          <w:sz w:val="24"/>
          <w:szCs w:val="24"/>
        </w:rPr>
      </w:pPr>
      <w:r w:rsidRPr="000D2BD8">
        <w:rPr>
          <w:rFonts w:ascii="Times New Roman" w:hAnsi="Times New Roman" w:cs="Times New Roman"/>
          <w:b/>
          <w:sz w:val="24"/>
          <w:szCs w:val="24"/>
        </w:rPr>
        <w:t>THE COMMISSIONER FOR LAND REGISTRATION</w:t>
      </w:r>
    </w:p>
    <w:p w:rsidR="00D14AD8" w:rsidRPr="000D2BD8" w:rsidRDefault="00D14AD8" w:rsidP="00D14AD8">
      <w:pPr>
        <w:pStyle w:val="ListParagraph"/>
        <w:spacing w:line="240" w:lineRule="auto"/>
        <w:ind w:left="360"/>
        <w:rPr>
          <w:rFonts w:ascii="Times New Roman" w:hAnsi="Times New Roman" w:cs="Times New Roman"/>
          <w:b/>
          <w:sz w:val="24"/>
          <w:szCs w:val="24"/>
        </w:rPr>
      </w:pPr>
    </w:p>
    <w:p w:rsidR="00D14AD8" w:rsidRPr="000D2BD8" w:rsidRDefault="00D14AD8" w:rsidP="00D14AD8">
      <w:pPr>
        <w:pStyle w:val="ListParagraph"/>
        <w:spacing w:line="240" w:lineRule="auto"/>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RULING</w:t>
      </w:r>
    </w:p>
    <w:p w:rsidR="00D14AD8" w:rsidRPr="000D2BD8" w:rsidRDefault="00D14AD8" w:rsidP="00D14AD8">
      <w:pPr>
        <w:pStyle w:val="ListParagraph"/>
        <w:spacing w:line="240" w:lineRule="auto"/>
        <w:ind w:left="0"/>
        <w:rPr>
          <w:rFonts w:ascii="Times New Roman" w:hAnsi="Times New Roman" w:cs="Times New Roman"/>
          <w:b/>
          <w:sz w:val="24"/>
          <w:szCs w:val="24"/>
        </w:rPr>
      </w:pPr>
    </w:p>
    <w:p w:rsidR="00D14AD8" w:rsidRPr="000D2BD8" w:rsidRDefault="00D14AD8" w:rsidP="00D14AD8">
      <w:pPr>
        <w:pStyle w:val="ListParagraph"/>
        <w:spacing w:line="240" w:lineRule="auto"/>
        <w:ind w:left="0"/>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BEFORE HON. LADY JUSTICE EVA K. LUSWATA</w:t>
      </w:r>
    </w:p>
    <w:p w:rsidR="00D14AD8" w:rsidRPr="000D2BD8" w:rsidRDefault="00D14AD8" w:rsidP="00D14AD8">
      <w:pPr>
        <w:pStyle w:val="ListParagraph"/>
        <w:spacing w:line="240" w:lineRule="auto"/>
        <w:rPr>
          <w:rFonts w:ascii="Times New Roman" w:hAnsi="Times New Roman" w:cs="Times New Roman"/>
          <w:b/>
          <w:sz w:val="24"/>
          <w:szCs w:val="24"/>
        </w:rPr>
      </w:pP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The applicant brought this application by Notice of Motion under the provisions of Section 140 and 188 RTA Cap 230, Section 8 Judicature Act Cap 14, Section 98 CPA and Order 52 rule 1 CPR SI 71-1 seeking for orders that:-</w:t>
      </w:r>
    </w:p>
    <w:p w:rsidR="00D14AD8" w:rsidRPr="000D2BD8" w:rsidRDefault="00D14AD8" w:rsidP="00D14AD8">
      <w:pPr>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Court summons the respondents who lodged caveats in respect of land comprised in Block 20 Plot 526 at Busega to show </w:t>
      </w:r>
      <w:proofErr w:type="gramStart"/>
      <w:r w:rsidRPr="000D2BD8">
        <w:rPr>
          <w:rFonts w:ascii="Times New Roman" w:hAnsi="Times New Roman"/>
          <w:sz w:val="24"/>
          <w:szCs w:val="24"/>
        </w:rPr>
        <w:t>cause</w:t>
      </w:r>
      <w:proofErr w:type="gramEnd"/>
      <w:r w:rsidRPr="000D2BD8">
        <w:rPr>
          <w:rFonts w:ascii="Times New Roman" w:hAnsi="Times New Roman"/>
          <w:sz w:val="24"/>
          <w:szCs w:val="24"/>
        </w:rPr>
        <w:t xml:space="preserve"> why their respective caveats should not be removed and directions and orders be made for vacation of the orders and issue of a vesting order and special certificate in favor of the applicant.</w:t>
      </w:r>
    </w:p>
    <w:p w:rsidR="00D14AD8" w:rsidRPr="000D2BD8" w:rsidRDefault="00D14AD8" w:rsidP="00D14AD8">
      <w:pPr>
        <w:numPr>
          <w:ilvl w:val="0"/>
          <w:numId w:val="2"/>
        </w:numPr>
        <w:spacing w:line="360" w:lineRule="auto"/>
        <w:jc w:val="both"/>
        <w:rPr>
          <w:rFonts w:ascii="Times New Roman" w:hAnsi="Times New Roman"/>
          <w:sz w:val="24"/>
          <w:szCs w:val="24"/>
        </w:rPr>
      </w:pPr>
      <w:r w:rsidRPr="000D2BD8">
        <w:rPr>
          <w:rFonts w:ascii="Times New Roman" w:hAnsi="Times New Roman"/>
          <w:sz w:val="24"/>
          <w:szCs w:val="24"/>
        </w:rPr>
        <w:t xml:space="preserve">Costs of this application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provided for.</w:t>
      </w: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The motion was supported by the affidavit of the applicant Marie Pintothe administrator of the estate of the Late Manuel Pinto (hereinafter referred to as the deceased). She stated that the deceased purchased land styled as Block 20 Plot 526 at Busega (hereinafter called the suit land) at a consideration of 10m/= on 22/11/1999 from Manuela Walther in her capacity as the legal guardian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then the registered proprietor. That the payment was duly accepted through the vendor’s legal representative, M/s Mulenga Kalemera &amp; Co. Advocates and the vendor executed transfer forms in favor of the deceased. That it was later discovered that the original certificate of title was missing and could not be traced by the vendor or her advocates. That the applicant occupied the suit land with the deceased before his demise and is still in </w:t>
      </w:r>
      <w:r w:rsidRPr="000D2BD8">
        <w:rPr>
          <w:rFonts w:ascii="Times New Roman" w:hAnsi="Times New Roman"/>
          <w:sz w:val="24"/>
          <w:szCs w:val="24"/>
        </w:rPr>
        <w:lastRenderedPageBreak/>
        <w:t>occupation thereof. That the applicant applied to the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through her lawyers, for a vesting order in respect of the suit land and to date, such order has never been granted. That the respondents lodged caveats on the suit land on 14/1/99, 14/3/05, and 28/4/2009 respectively, thus preventing the applicant from its use.</w:t>
      </w: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Shariff Mohammed Omar in his affidavit in reply contended that he was approached by a one Suzan Kabazaire widow to Winfried Walther and mother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with a proposal to sell to him the suit land which at that time was registered in the names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then an infant. He confirmed that the said Suzan Kabazaire had been granted powers by the Chief Magistrate’s Court of Mengo to sell the suit land for the benefit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That after such confirmation, he purchased the suit land on 21/12/1995, and upon fulfillment of the payment, transfer forms were signed in his favor and the duplicate certificate of title was handed to him. </w:t>
      </w:r>
    </w:p>
    <w:p w:rsidR="00D14AD8" w:rsidRPr="000D2BD8" w:rsidRDefault="00D14AD8" w:rsidP="00D14AD8">
      <w:pPr>
        <w:spacing w:line="360" w:lineRule="auto"/>
        <w:jc w:val="both"/>
        <w:rPr>
          <w:rFonts w:ascii="Times New Roman" w:hAnsi="Times New Roman"/>
          <w:sz w:val="24"/>
          <w:szCs w:val="24"/>
        </w:rPr>
      </w:pP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That he embarked on the process of transferring the suit land into his name and upon lodgment of the certificate of title with the lands registry, he was advised that the court order upon which the sale had been affected, was one which could only be granted by the High Court and was then advised by the same office, to apply to the High Court to have the same ratified. That he caveated the suit land to protect his interests and later wrote to the Registrar High Court Land Division to ratify the court order.   Therefore it is just and equitable that his caveat is maintained to protect his interests until the High Court ratifies the court order granted by the Magistrates Court of Mengo.</w:t>
      </w: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Denise Walther in an affidavit in reply contended that in </w:t>
      </w:r>
      <w:proofErr w:type="gramStart"/>
      <w:r w:rsidRPr="000D2BD8">
        <w:rPr>
          <w:rFonts w:ascii="Times New Roman" w:hAnsi="Times New Roman"/>
          <w:sz w:val="24"/>
          <w:szCs w:val="24"/>
        </w:rPr>
        <w:t>1992  while</w:t>
      </w:r>
      <w:proofErr w:type="gramEnd"/>
      <w:r w:rsidRPr="000D2BD8">
        <w:rPr>
          <w:rFonts w:ascii="Times New Roman" w:hAnsi="Times New Roman"/>
          <w:sz w:val="24"/>
          <w:szCs w:val="24"/>
        </w:rPr>
        <w:t xml:space="preserve"> still a minor, her late father Winfried Adam Walther gifted and registered the suit land  in her name as the proprietor. That her late father in his </w:t>
      </w:r>
      <w:proofErr w:type="gramStart"/>
      <w:r w:rsidRPr="000D2BD8">
        <w:rPr>
          <w:rFonts w:ascii="Times New Roman" w:hAnsi="Times New Roman"/>
          <w:sz w:val="24"/>
          <w:szCs w:val="24"/>
        </w:rPr>
        <w:t>Will</w:t>
      </w:r>
      <w:proofErr w:type="gramEnd"/>
      <w:r w:rsidRPr="000D2BD8">
        <w:rPr>
          <w:rFonts w:ascii="Times New Roman" w:hAnsi="Times New Roman"/>
          <w:sz w:val="24"/>
          <w:szCs w:val="24"/>
        </w:rPr>
        <w:t xml:space="preserve"> appointed Manuela Walther, her older sister to be the sole trustee and executor of his Will and guardian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until she attained majority age. That a one Didas Nkurunziza then a lawyer, working with Mulega &amp; Karemera Advocates, her late father’s lawyer lodged a caveat on the suit land to protect and safe guard her interests following attempts by unscrupulous people to appropriate the same. That the purported sale of her land in the past was a nullity</w:t>
      </w:r>
      <w:proofErr w:type="gramStart"/>
      <w:r w:rsidRPr="000D2BD8">
        <w:rPr>
          <w:rFonts w:ascii="Times New Roman" w:hAnsi="Times New Roman"/>
          <w:sz w:val="24"/>
          <w:szCs w:val="24"/>
        </w:rPr>
        <w:t>,  since</w:t>
      </w:r>
      <w:proofErr w:type="gramEnd"/>
      <w:r w:rsidRPr="000D2BD8">
        <w:rPr>
          <w:rFonts w:ascii="Times New Roman" w:hAnsi="Times New Roman"/>
          <w:sz w:val="24"/>
          <w:szCs w:val="24"/>
        </w:rPr>
        <w:t xml:space="preserve"> the individuals who attempted to conduct the sale </w:t>
      </w:r>
      <w:r w:rsidRPr="000D2BD8">
        <w:rPr>
          <w:rFonts w:ascii="Times New Roman" w:hAnsi="Times New Roman"/>
          <w:sz w:val="24"/>
          <w:szCs w:val="24"/>
        </w:rPr>
        <w:lastRenderedPageBreak/>
        <w:t>did so outside the law. That Manuela Walther’s powers under executing their late father’s will, did not include disposing of the suit land and the order by the Chief Magistrate’s Court of Mengo that was purportedly granted to the Administrator General to dispose of the suit land allegedly for her benefit, was granted by a Court which lacked jurisdiction to grant such an order, making it an illegality.  And that the purported purchase of the suit land by the applicant whilst a caveat forbidding the same was in force, is also a nullity.</w:t>
      </w: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Manuela Van De Broek Walther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sister and trustee) also deponed an affidavit where she contended among others that she entered into a contract of sale of the suit land with the deceased. That the sale was subject to her obtaining permission to sale the suit land from the Child Welfare Board of the Netherlands (hereafter referred to as the boad) since the registered proprietor of the suit land was a minor at the time. That she never managed to get that permission because the deceased failed to pay the agreed purchase price to her. She denied receiving any payment from the deceased and asserted that the contract collapsed following a failure by the deceased to pay consideration for the suit land. </w:t>
      </w: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Didas Nkrunziza also filed a witness statement where he stated that his firm handled the transaction through which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became the registered proprietor of the suit land. That after such registration, on 11/8/94, Susan Kabazaire,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mother, requested for and was given the original certificate of title and on 14/1/99, upon instructions of Manuela Walther (through her representative J.H.J Jagers) he lodged a caveat on the suit land in order to protect the interests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That during July 1999, Nkurunziza received Walther’s instructions (again through J.H.J Jagers) to draw up an agreement to sale the suit land to the deceased for a sum of Shs 10m/=. That he was aware and did fully explain to both Walther and the deceased that the sale of the land would have to be contingent upon Walther obtaining permission from the Board. That both Walther and the deceased signed the agreement and the transfer deed but the original copies were retained by him awaiting the written permission of the Board which he has never received to date. That during September 2002, the deceased effected payment of the purchase price to Nkurunziza, the latter who accepted the same but after reminding the deceased of the condition in the sale agreement. He still retains the original documents and the purchase dues to date although he has ceased to represent Ms. Walther.</w:t>
      </w: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lastRenderedPageBreak/>
        <w:t>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and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neither filed affidavits in reply nor appeared in court despite having been served with hearing notices. The application thus </w:t>
      </w:r>
      <w:proofErr w:type="gramStart"/>
      <w:r w:rsidRPr="000D2BD8">
        <w:rPr>
          <w:rFonts w:ascii="Times New Roman" w:hAnsi="Times New Roman"/>
          <w:sz w:val="24"/>
          <w:szCs w:val="24"/>
        </w:rPr>
        <w:t>proceeded</w:t>
      </w:r>
      <w:proofErr w:type="gramEnd"/>
      <w:r w:rsidRPr="000D2BD8">
        <w:rPr>
          <w:rFonts w:ascii="Times New Roman" w:hAnsi="Times New Roman"/>
          <w:sz w:val="24"/>
          <w:szCs w:val="24"/>
        </w:rPr>
        <w:t xml:space="preserve"> exparte against them under </w:t>
      </w:r>
      <w:r w:rsidRPr="000D2BD8">
        <w:rPr>
          <w:rFonts w:ascii="Times New Roman" w:hAnsi="Times New Roman"/>
          <w:b/>
          <w:sz w:val="24"/>
          <w:szCs w:val="24"/>
        </w:rPr>
        <w:t xml:space="preserve">Order 9 rule 20 (1) </w:t>
      </w:r>
      <w:r w:rsidRPr="000D2BD8">
        <w:rPr>
          <w:rFonts w:ascii="Times New Roman" w:hAnsi="Times New Roman"/>
          <w:sz w:val="24"/>
          <w:szCs w:val="24"/>
        </w:rPr>
        <w:t xml:space="preserve">and </w:t>
      </w:r>
      <w:r w:rsidRPr="000D2BD8">
        <w:rPr>
          <w:rFonts w:ascii="Times New Roman" w:hAnsi="Times New Roman"/>
          <w:b/>
          <w:sz w:val="24"/>
          <w:szCs w:val="24"/>
        </w:rPr>
        <w:t>Order 17 rule 3 CPR</w:t>
      </w:r>
      <w:r w:rsidRPr="000D2BD8">
        <w:rPr>
          <w:rFonts w:ascii="Times New Roman" w:hAnsi="Times New Roman"/>
          <w:sz w:val="24"/>
          <w:szCs w:val="24"/>
        </w:rPr>
        <w:t>. It is therefore taken that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and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agree to the applicant’s contentions and prayers.</w:t>
      </w:r>
    </w:p>
    <w:p w:rsidR="00D14AD8" w:rsidRPr="000D2BD8" w:rsidRDefault="00D14AD8" w:rsidP="00D14AD8">
      <w:pPr>
        <w:spacing w:line="360" w:lineRule="auto"/>
        <w:jc w:val="both"/>
        <w:rPr>
          <w:rFonts w:ascii="Times New Roman" w:hAnsi="Times New Roman"/>
          <w:sz w:val="24"/>
          <w:szCs w:val="24"/>
        </w:rPr>
      </w:pPr>
      <w:r w:rsidRPr="000D2BD8">
        <w:rPr>
          <w:rFonts w:ascii="Times New Roman" w:hAnsi="Times New Roman"/>
          <w:sz w:val="24"/>
          <w:szCs w:val="24"/>
        </w:rPr>
        <w:t xml:space="preserve">Both </w:t>
      </w:r>
      <w:proofErr w:type="gramStart"/>
      <w:r w:rsidRPr="000D2BD8">
        <w:rPr>
          <w:rFonts w:ascii="Times New Roman" w:hAnsi="Times New Roman"/>
          <w:sz w:val="24"/>
          <w:szCs w:val="24"/>
        </w:rPr>
        <w:t>counsel</w:t>
      </w:r>
      <w:proofErr w:type="gramEnd"/>
      <w:r w:rsidRPr="000D2BD8">
        <w:rPr>
          <w:rFonts w:ascii="Times New Roman" w:hAnsi="Times New Roman"/>
          <w:sz w:val="24"/>
          <w:szCs w:val="24"/>
        </w:rPr>
        <w:t xml:space="preserve"> were ordered to file written submissions which order they complied with.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The caveats which are the basis of this Application were lodged under S.140 (1) RTA now S.139 (1) RTA which provides as follows:-</w:t>
      </w:r>
    </w:p>
    <w:p w:rsidR="00D14AD8" w:rsidRPr="000D2BD8" w:rsidRDefault="00D14AD8" w:rsidP="00D14AD8">
      <w:pPr>
        <w:autoSpaceDE w:val="0"/>
        <w:autoSpaceDN w:val="0"/>
        <w:adjustRightInd w:val="0"/>
        <w:spacing w:after="0" w:line="360" w:lineRule="auto"/>
        <w:ind w:left="720"/>
        <w:jc w:val="both"/>
        <w:rPr>
          <w:rFonts w:ascii="Times New Roman" w:hAnsi="Times New Roman"/>
          <w:i/>
          <w:sz w:val="24"/>
          <w:szCs w:val="24"/>
        </w:rPr>
      </w:pPr>
      <w:r w:rsidRPr="000D2BD8">
        <w:rPr>
          <w:rFonts w:ascii="Times New Roman" w:hAnsi="Times New Roman"/>
          <w:i/>
          <w:sz w:val="24"/>
          <w:szCs w:val="24"/>
        </w:rPr>
        <w:t xml:space="preserve">“Any beneficiary </w:t>
      </w:r>
      <w:r w:rsidRPr="000D2BD8">
        <w:rPr>
          <w:rFonts w:ascii="Times New Roman" w:hAnsi="Times New Roman"/>
          <w:i/>
          <w:sz w:val="24"/>
          <w:szCs w:val="24"/>
          <w:u w:val="single"/>
        </w:rPr>
        <w:t>or other person claiming any estate or interest in land under the operation of this Act</w:t>
      </w:r>
      <w:r w:rsidRPr="000D2BD8">
        <w:rPr>
          <w:rFonts w:ascii="Times New Roman" w:hAnsi="Times New Roman"/>
          <w:i/>
          <w:sz w:val="24"/>
          <w:szCs w:val="24"/>
        </w:rPr>
        <w:t xml:space="preserve"> … may lodge a caveat with the commissioner …forbidding the registration of any person as transferee or proprietor of and of any instrument affecting that estate or interest until after notice of the intended registration or dealing is given to the caveator, or unless the instrument is expressed to be subject to the claim of the caveator as is required in the caveat, or unless the caveator consents in writing to the registration.”  </w:t>
      </w:r>
      <w:proofErr w:type="gramStart"/>
      <w:r w:rsidRPr="000D2BD8">
        <w:rPr>
          <w:rFonts w:ascii="Times New Roman" w:hAnsi="Times New Roman"/>
          <w:i/>
          <w:sz w:val="24"/>
          <w:szCs w:val="24"/>
        </w:rPr>
        <w:t>(Emphasis mine).</w:t>
      </w:r>
      <w:proofErr w:type="gramEnd"/>
    </w:p>
    <w:p w:rsidR="00D14AD8" w:rsidRPr="000D2BD8" w:rsidRDefault="00D14AD8" w:rsidP="00D14AD8">
      <w:pPr>
        <w:autoSpaceDE w:val="0"/>
        <w:autoSpaceDN w:val="0"/>
        <w:adjustRightInd w:val="0"/>
        <w:spacing w:after="0" w:line="360" w:lineRule="auto"/>
        <w:jc w:val="both"/>
        <w:rPr>
          <w:rFonts w:ascii="Times New Roman" w:hAnsi="Times New Roman"/>
          <w:i/>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The orders sought in the application are for removal of the caveats, a vesting order and issuance of a special certificate of title in respect of the suit land in favour of the applicant.  The applicant and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counsel submitted and I do agree, that, S.139 (1) RTA basically deals with rights that can be protected by caveats.  Therefore, my deliberations and findings should be confined to confirming whether the respondents have interests to protect in the suit land that should merit subsistence of the </w:t>
      </w:r>
      <w:proofErr w:type="gramStart"/>
      <w:r w:rsidRPr="000D2BD8">
        <w:rPr>
          <w:rFonts w:ascii="Times New Roman" w:hAnsi="Times New Roman"/>
          <w:sz w:val="24"/>
          <w:szCs w:val="24"/>
        </w:rPr>
        <w:t>caveats,</w:t>
      </w:r>
      <w:proofErr w:type="gramEnd"/>
      <w:r w:rsidRPr="000D2BD8">
        <w:rPr>
          <w:rFonts w:ascii="Times New Roman" w:hAnsi="Times New Roman"/>
          <w:sz w:val="24"/>
          <w:szCs w:val="24"/>
        </w:rPr>
        <w:t xml:space="preserve"> I must constantly remind myself of those confines as I write this decision.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The applicant contests the caveats on several grounds.  Firstly that a sale of the suit land was concluded between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guardian and the deceased and secondly that, the deceased acted upon the contract by taking possession, and she as his predecessor in title, has remained so in possession unchallenged since 1999.  Thirdly, that the caveats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respondents were registered after the deceased obtained an equitable interest in the land and that their interests are therefore not superior to that which she holds.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lastRenderedPageBreak/>
        <w:t>Conversely, counsel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argued that the claims in the motion go beyond what Section 139 (1) RTA allows.  He further argued </w:t>
      </w:r>
      <w:proofErr w:type="gramStart"/>
      <w:r w:rsidRPr="000D2BD8">
        <w:rPr>
          <w:rFonts w:ascii="Times New Roman" w:hAnsi="Times New Roman"/>
          <w:sz w:val="24"/>
          <w:szCs w:val="24"/>
        </w:rPr>
        <w:t>that  the</w:t>
      </w:r>
      <w:proofErr w:type="gramEnd"/>
      <w:r w:rsidRPr="000D2BD8">
        <w:rPr>
          <w:rFonts w:ascii="Times New Roman" w:hAnsi="Times New Roman"/>
          <w:sz w:val="24"/>
          <w:szCs w:val="24"/>
        </w:rPr>
        <w:t xml:space="preserve"> sale to the deceased was a nullity, it being conducted after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caveat was lodged.  He and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also argued strongly that the contract of sale was one which fell under sections 22 and 28 of the Contract Act in that, the contract had a written, unambiguous </w:t>
      </w:r>
      <w:proofErr w:type="gramStart"/>
      <w:r w:rsidRPr="000D2BD8">
        <w:rPr>
          <w:rFonts w:ascii="Times New Roman" w:hAnsi="Times New Roman"/>
          <w:sz w:val="24"/>
          <w:szCs w:val="24"/>
        </w:rPr>
        <w:t>and  fundamental</w:t>
      </w:r>
      <w:proofErr w:type="gramEnd"/>
      <w:r w:rsidRPr="000D2BD8">
        <w:rPr>
          <w:rFonts w:ascii="Times New Roman" w:hAnsi="Times New Roman"/>
          <w:sz w:val="24"/>
          <w:szCs w:val="24"/>
        </w:rPr>
        <w:t xml:space="preserve"> term which the deceased knew and agreed to (at the time he agreed to purchase the suit land) that the vendor first had to obtain permission of the Board before going ahead with the purchase which she failed to do.  That according to S.28 Contract Act</w:t>
      </w:r>
      <w:proofErr w:type="gramStart"/>
      <w:r w:rsidRPr="000D2BD8">
        <w:rPr>
          <w:rFonts w:ascii="Times New Roman" w:hAnsi="Times New Roman"/>
          <w:sz w:val="24"/>
          <w:szCs w:val="24"/>
        </w:rPr>
        <w:t>,  this</w:t>
      </w:r>
      <w:proofErr w:type="gramEnd"/>
      <w:r w:rsidRPr="000D2BD8">
        <w:rPr>
          <w:rFonts w:ascii="Times New Roman" w:hAnsi="Times New Roman"/>
          <w:sz w:val="24"/>
          <w:szCs w:val="24"/>
        </w:rPr>
        <w:t xml:space="preserve"> was an event precedent and  important to the contract which was rendered impossible.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argued that there had never been any objection to the order of the court at Mengo, which allowed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mother to sell the suit land to his client.   That on the other hand, the applicant did not show that she rejected the sale proceeds received from the applicant, and therefore, she should not be allowed to benefit twice from the land.  He also questioned the bonafides of the purchase by the applicant on the grounds that there was an existing caveat on the land at the time of purchase and also that the consent of the Board and that of Suzan Kabazaire the caretaker was never sought.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In rejoinder, counsel for the applicant disputed the fact that this was a contingent contract.  He agreed that the requirement to obtain the consent of the Board was a fundamental term of the agreement but that upon  breach by the vendor,   the deceased chose to consider it a mere breach of warranty and proceeded to perform the contract by taking possession and assumed an equitable interest.  He </w:t>
      </w:r>
      <w:proofErr w:type="gramStart"/>
      <w:r w:rsidRPr="000D2BD8">
        <w:rPr>
          <w:rFonts w:ascii="Times New Roman" w:hAnsi="Times New Roman"/>
          <w:sz w:val="24"/>
          <w:szCs w:val="24"/>
        </w:rPr>
        <w:t>therein  also</w:t>
      </w:r>
      <w:proofErr w:type="gramEnd"/>
      <w:r w:rsidRPr="000D2BD8">
        <w:rPr>
          <w:rFonts w:ascii="Times New Roman" w:hAnsi="Times New Roman"/>
          <w:sz w:val="24"/>
          <w:szCs w:val="24"/>
        </w:rPr>
        <w:t xml:space="preserve"> argued further that the  contingent requirement did not become “impossible”, because the vendor reneged to obtain permission of the Board after she wrongly thought that the deceased had  failed to pay the purchase price which was not the case.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With respect, I consider the detailed arguments of whether there was a breach of the contract of the sale of the suit land between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benefactor and the deceased are misplaced in these proceedings.    As his opening statement, counsel for the applicant rightly stated that this being an application under Section 140 (now 139 RTA), the submissions or ownership of any category of interest in the suit land cannot be accommodated under this application.  In my considered opinion, and in addition, even arguments on the validity of the agreement or its </w:t>
      </w:r>
      <w:r w:rsidRPr="000D2BD8">
        <w:rPr>
          <w:rFonts w:ascii="Times New Roman" w:hAnsi="Times New Roman"/>
          <w:sz w:val="24"/>
          <w:szCs w:val="24"/>
        </w:rPr>
        <w:lastRenderedPageBreak/>
        <w:t>breach,  and the allegations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attempted to procure registration of the suit property through fraud, fall under that category.  In my view, those are issues that would require framing of issues and testimonies, that are open to be contested in cross-examination, which cannot be achieved in an application, brought under a notice of motion.  I would equate the present facts to a similar situation that was presented to the Supreme Court in </w:t>
      </w:r>
      <w:r w:rsidRPr="000D2BD8">
        <w:rPr>
          <w:rFonts w:ascii="Times New Roman" w:hAnsi="Times New Roman"/>
          <w:b/>
          <w:sz w:val="24"/>
          <w:szCs w:val="24"/>
        </w:rPr>
        <w:t>Sanyu Lwanga Musoke Vs Yakobo Ntale Mayanja S.C.C.A.59/95</w:t>
      </w:r>
      <w:r w:rsidRPr="000D2BD8">
        <w:rPr>
          <w:rFonts w:ascii="Times New Roman" w:hAnsi="Times New Roman"/>
          <w:sz w:val="24"/>
          <w:szCs w:val="24"/>
        </w:rPr>
        <w:t xml:space="preserve"> where the Supreme Court rejected a request to consider allegations of fraud against a party who had been sued on a notice of mention seeking orders similar to those sought before this court.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I therefore decline to consider those arguments.  Instead, I revert to my earlier caution of the confines of Section 139 (1) RTA.  The issue therefore is whether the caveats on the suit land bear no merit and ought to be vacated from the suit land. </w:t>
      </w:r>
    </w:p>
    <w:p w:rsidR="00D14AD8" w:rsidRPr="000D2BD8" w:rsidRDefault="00D14AD8" w:rsidP="00D14AD8">
      <w:pPr>
        <w:autoSpaceDE w:val="0"/>
        <w:autoSpaceDN w:val="0"/>
        <w:adjustRightInd w:val="0"/>
        <w:spacing w:after="0" w:line="360" w:lineRule="auto"/>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In the case of </w:t>
      </w:r>
      <w:r w:rsidRPr="000D2BD8">
        <w:rPr>
          <w:rFonts w:ascii="Times New Roman" w:hAnsi="Times New Roman"/>
          <w:b/>
          <w:sz w:val="24"/>
          <w:szCs w:val="24"/>
        </w:rPr>
        <w:t xml:space="preserve">Sentongo Produce Vs Coffee Farmers </w:t>
      </w:r>
      <w:proofErr w:type="gramStart"/>
      <w:r w:rsidRPr="000D2BD8">
        <w:rPr>
          <w:rFonts w:ascii="Times New Roman" w:hAnsi="Times New Roman"/>
          <w:b/>
          <w:sz w:val="24"/>
          <w:szCs w:val="24"/>
        </w:rPr>
        <w:t>Ltd  &amp;</w:t>
      </w:r>
      <w:proofErr w:type="gramEnd"/>
      <w:r w:rsidRPr="000D2BD8">
        <w:rPr>
          <w:rFonts w:ascii="Times New Roman" w:hAnsi="Times New Roman"/>
          <w:b/>
          <w:sz w:val="24"/>
          <w:szCs w:val="24"/>
        </w:rPr>
        <w:t xml:space="preserve"> Rose Nakafuma Muyiisa HCMC 690/99 </w:t>
      </w:r>
      <w:r w:rsidRPr="000D2BD8">
        <w:rPr>
          <w:rFonts w:ascii="Times New Roman" w:hAnsi="Times New Roman"/>
          <w:sz w:val="24"/>
          <w:szCs w:val="24"/>
        </w:rPr>
        <w:t xml:space="preserve">that was cited by the 1st respondent,  it was held that for a caveat to be valid, the caveator or must have a protectable interest legal or equitable to be protected by the caveat otherwise the caveat would be invalid.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It was never in dispute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was and as still the registered proprietor of the suit land.  With or without a certificate of title</w:t>
      </w:r>
      <w:proofErr w:type="gramStart"/>
      <w:r w:rsidRPr="000D2BD8">
        <w:rPr>
          <w:rFonts w:ascii="Times New Roman" w:hAnsi="Times New Roman"/>
          <w:sz w:val="24"/>
          <w:szCs w:val="24"/>
        </w:rPr>
        <w:t>,  in</w:t>
      </w:r>
      <w:proofErr w:type="gramEnd"/>
      <w:r w:rsidRPr="000D2BD8">
        <w:rPr>
          <w:rFonts w:ascii="Times New Roman" w:hAnsi="Times New Roman"/>
          <w:sz w:val="24"/>
          <w:szCs w:val="24"/>
        </w:rPr>
        <w:t xml:space="preserve"> law,  she would,  until otherwise proved, be recognized as the owner of the most superior interest in that land.  Therefore, hers is understood to be a competing interest with that of the applicant who claims to have purchased the suit land from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benefactor when she was still a minor.  A registered proprietor is by all means in law entitled to protect her interest in land for example where she contests a sale as was the case here.    However, I have already found that the bonafides of that purchase can only be conversed in a full suit.  I thus find that the caveat lodged on behalf of the applicant on 14/1/99 is valid and will for now be maintained on the certificate of title.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claimed to have purchased the suit land in 1995 from one Susan Kabazaire,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mother who it is alleged to have had the required powers to sale.  It was for that reason he caveated the land.  Again this creates a parrarel albeit unregistered interest in the </w:t>
      </w:r>
      <w:r w:rsidRPr="000D2BD8">
        <w:rPr>
          <w:rFonts w:ascii="Times New Roman" w:hAnsi="Times New Roman"/>
          <w:sz w:val="24"/>
          <w:szCs w:val="24"/>
        </w:rPr>
        <w:lastRenderedPageBreak/>
        <w:t>suit land against the interests of the applicant and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produced sufficient proof to show on a balance of probabilities that he purchased an interest in the suit land.  To my mind that is enough to entitle him to lodge a caveat.  As I have already held, also the bonafides or legality of his purchase also, can only be investigated in a suit.  Accordingly, I also hold that the caveat of the 2nd </w:t>
      </w:r>
      <w:proofErr w:type="gramStart"/>
      <w:r w:rsidRPr="000D2BD8">
        <w:rPr>
          <w:rFonts w:ascii="Times New Roman" w:hAnsi="Times New Roman"/>
          <w:sz w:val="24"/>
          <w:szCs w:val="24"/>
        </w:rPr>
        <w:t>respondent  shall</w:t>
      </w:r>
      <w:proofErr w:type="gramEnd"/>
      <w:r w:rsidRPr="000D2BD8">
        <w:rPr>
          <w:rFonts w:ascii="Times New Roman" w:hAnsi="Times New Roman"/>
          <w:sz w:val="24"/>
          <w:szCs w:val="24"/>
        </w:rPr>
        <w:t xml:space="preserve"> also  be maintained  on the suit land.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did not contest the application and thereby failed to appear and show cause why his caveat should not be removed.  He is taken to have submitted to the application.  Also, it is trite that caveats are not to be maintained on land with no sound reason or in perpetuity.  Therefore</w:t>
      </w:r>
      <w:proofErr w:type="gramStart"/>
      <w:r w:rsidRPr="000D2BD8">
        <w:rPr>
          <w:rFonts w:ascii="Times New Roman" w:hAnsi="Times New Roman"/>
          <w:sz w:val="24"/>
          <w:szCs w:val="24"/>
        </w:rPr>
        <w:t>,  I</w:t>
      </w:r>
      <w:proofErr w:type="gramEnd"/>
      <w:r w:rsidRPr="000D2BD8">
        <w:rPr>
          <w:rFonts w:ascii="Times New Roman" w:hAnsi="Times New Roman"/>
          <w:sz w:val="24"/>
          <w:szCs w:val="24"/>
        </w:rPr>
        <w:t xml:space="preserve"> hold that the caveat filed by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on the suit land on 26/4/09  shall  be vacated.  This order is directed against both the </w:t>
      </w:r>
      <w:proofErr w:type="gramStart"/>
      <w:r w:rsidRPr="000D2BD8">
        <w:rPr>
          <w:rFonts w:ascii="Times New Roman" w:hAnsi="Times New Roman"/>
          <w:sz w:val="24"/>
          <w:szCs w:val="24"/>
        </w:rPr>
        <w:t>3</w:t>
      </w:r>
      <w:r w:rsidRPr="000D2BD8">
        <w:rPr>
          <w:rFonts w:ascii="Times New Roman" w:hAnsi="Times New Roman"/>
          <w:sz w:val="24"/>
          <w:szCs w:val="24"/>
          <w:vertAlign w:val="superscript"/>
        </w:rPr>
        <w:t>rd</w:t>
      </w:r>
      <w:r w:rsidRPr="000D2BD8">
        <w:rPr>
          <w:rFonts w:ascii="Times New Roman" w:hAnsi="Times New Roman"/>
          <w:sz w:val="24"/>
          <w:szCs w:val="24"/>
        </w:rPr>
        <w:t xml:space="preserve">  and</w:t>
      </w:r>
      <w:proofErr w:type="gramEnd"/>
      <w:r w:rsidRPr="000D2BD8">
        <w:rPr>
          <w:rFonts w:ascii="Times New Roman" w:hAnsi="Times New Roman"/>
          <w:sz w:val="24"/>
          <w:szCs w:val="24"/>
        </w:rPr>
        <w:t xml:space="preserve">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Having declined </w:t>
      </w:r>
      <w:proofErr w:type="gramStart"/>
      <w:r w:rsidRPr="000D2BD8">
        <w:rPr>
          <w:rFonts w:ascii="Times New Roman" w:hAnsi="Times New Roman"/>
          <w:sz w:val="24"/>
          <w:szCs w:val="24"/>
        </w:rPr>
        <w:t>to  issue</w:t>
      </w:r>
      <w:proofErr w:type="gramEnd"/>
      <w:r w:rsidRPr="000D2BD8">
        <w:rPr>
          <w:rFonts w:ascii="Times New Roman" w:hAnsi="Times New Roman"/>
          <w:sz w:val="24"/>
          <w:szCs w:val="24"/>
        </w:rPr>
        <w:t xml:space="preserve">  an order to remove the caveats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respondents, it follows that a vesting order in respect of the suit land cannot  be issued in favour of  the applicants.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 Further,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in his affidavit in response to the application, stated that he received the duplicate certificate of title from Susan </w:t>
      </w:r>
      <w:proofErr w:type="gramStart"/>
      <w:r w:rsidRPr="000D2BD8">
        <w:rPr>
          <w:rFonts w:ascii="Times New Roman" w:hAnsi="Times New Roman"/>
          <w:sz w:val="24"/>
          <w:szCs w:val="24"/>
        </w:rPr>
        <w:t>Kabazaire  at</w:t>
      </w:r>
      <w:proofErr w:type="gramEnd"/>
      <w:r w:rsidRPr="000D2BD8">
        <w:rPr>
          <w:rFonts w:ascii="Times New Roman" w:hAnsi="Times New Roman"/>
          <w:sz w:val="24"/>
          <w:szCs w:val="24"/>
        </w:rPr>
        <w:t xml:space="preserve"> the time of purchase and that it is still in his possession.  His averments seem credible as Didas Nkrunziza to whom the title was handed by Manuela Van De Broek confirmed those facts.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respondent’s benefactor, mentioned that </w:t>
      </w:r>
      <w:proofErr w:type="gramStart"/>
      <w:r w:rsidRPr="000D2BD8">
        <w:rPr>
          <w:rFonts w:ascii="Times New Roman" w:hAnsi="Times New Roman"/>
          <w:sz w:val="24"/>
          <w:szCs w:val="24"/>
        </w:rPr>
        <w:t>she  had</w:t>
      </w:r>
      <w:proofErr w:type="gramEnd"/>
      <w:r w:rsidRPr="000D2BD8">
        <w:rPr>
          <w:rFonts w:ascii="Times New Roman" w:hAnsi="Times New Roman"/>
          <w:sz w:val="24"/>
          <w:szCs w:val="24"/>
        </w:rPr>
        <w:t xml:space="preserve"> at some point  handed  handed over the title to Didas Nkrunziza’s firm and the latter admitted to have handed it over to Suzan Kabazaire who is  now deceased.   In those circumstances</w:t>
      </w:r>
      <w:proofErr w:type="gramStart"/>
      <w:r w:rsidRPr="000D2BD8">
        <w:rPr>
          <w:rFonts w:ascii="Times New Roman" w:hAnsi="Times New Roman"/>
          <w:sz w:val="24"/>
          <w:szCs w:val="24"/>
        </w:rPr>
        <w:t>,  therefore</w:t>
      </w:r>
      <w:proofErr w:type="gramEnd"/>
      <w:r w:rsidRPr="000D2BD8">
        <w:rPr>
          <w:rFonts w:ascii="Times New Roman" w:hAnsi="Times New Roman"/>
          <w:sz w:val="24"/>
          <w:szCs w:val="24"/>
        </w:rPr>
        <w:t xml:space="preserve">,  the duplicate certificate of title is traceable. .  I accordingly decline to grant the order to issue a special certificate of title.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In summary</w:t>
      </w:r>
      <w:proofErr w:type="gramStart"/>
      <w:r w:rsidRPr="000D2BD8">
        <w:rPr>
          <w:rFonts w:ascii="Times New Roman" w:hAnsi="Times New Roman"/>
          <w:sz w:val="24"/>
          <w:szCs w:val="24"/>
        </w:rPr>
        <w:t>,  the</w:t>
      </w:r>
      <w:proofErr w:type="gramEnd"/>
      <w:r w:rsidRPr="000D2BD8">
        <w:rPr>
          <w:rFonts w:ascii="Times New Roman" w:hAnsi="Times New Roman"/>
          <w:sz w:val="24"/>
          <w:szCs w:val="24"/>
        </w:rPr>
        <w:t xml:space="preserve"> application substantially fails and  I  hold as follows:-</w:t>
      </w:r>
    </w:p>
    <w:p w:rsidR="00D14AD8" w:rsidRPr="000D2BD8" w:rsidRDefault="00D14AD8" w:rsidP="00D14AD8">
      <w:pPr>
        <w:numPr>
          <w:ilvl w:val="0"/>
          <w:numId w:val="3"/>
        </w:num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The </w:t>
      </w:r>
      <w:proofErr w:type="gramStart"/>
      <w:r w:rsidRPr="000D2BD8">
        <w:rPr>
          <w:rFonts w:ascii="Times New Roman" w:hAnsi="Times New Roman"/>
          <w:sz w:val="24"/>
          <w:szCs w:val="24"/>
        </w:rPr>
        <w:t>caveats  lodged</w:t>
      </w:r>
      <w:proofErr w:type="gramEnd"/>
      <w:r w:rsidRPr="000D2BD8">
        <w:rPr>
          <w:rFonts w:ascii="Times New Roman" w:hAnsi="Times New Roman"/>
          <w:sz w:val="24"/>
          <w:szCs w:val="24"/>
        </w:rPr>
        <w:t xml:space="preserve">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  on Block 20 Plot 526 Busega shall not  be removed.</w:t>
      </w:r>
    </w:p>
    <w:p w:rsidR="00D14AD8" w:rsidRPr="000D2BD8" w:rsidRDefault="00D14AD8" w:rsidP="00D14AD8">
      <w:pPr>
        <w:numPr>
          <w:ilvl w:val="0"/>
          <w:numId w:val="3"/>
        </w:num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The caveat lodged by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respondent on Block 20 Plot 526 Busega shall be removed forthwith. </w:t>
      </w:r>
    </w:p>
    <w:p w:rsidR="00D14AD8" w:rsidRPr="000D2BD8" w:rsidRDefault="00D14AD8" w:rsidP="00D14AD8">
      <w:pPr>
        <w:numPr>
          <w:ilvl w:val="0"/>
          <w:numId w:val="3"/>
        </w:num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No order is given with respect to the prayer for a vesting order in favour of the applicants. </w:t>
      </w:r>
    </w:p>
    <w:p w:rsidR="00D14AD8" w:rsidRPr="000D2BD8" w:rsidRDefault="00D14AD8" w:rsidP="00D14AD8">
      <w:pPr>
        <w:numPr>
          <w:ilvl w:val="0"/>
          <w:numId w:val="3"/>
        </w:num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lastRenderedPageBreak/>
        <w:t xml:space="preserve">No special certificate </w:t>
      </w:r>
      <w:proofErr w:type="gramStart"/>
      <w:r w:rsidRPr="000D2BD8">
        <w:rPr>
          <w:rFonts w:ascii="Times New Roman" w:hAnsi="Times New Roman"/>
          <w:sz w:val="24"/>
          <w:szCs w:val="24"/>
        </w:rPr>
        <w:t>shall  be</w:t>
      </w:r>
      <w:proofErr w:type="gramEnd"/>
      <w:r w:rsidRPr="000D2BD8">
        <w:rPr>
          <w:rFonts w:ascii="Times New Roman" w:hAnsi="Times New Roman"/>
          <w:sz w:val="24"/>
          <w:szCs w:val="24"/>
        </w:rPr>
        <w:t xml:space="preserve"> issued in respect of Block 20 Plot 526.</w:t>
      </w:r>
    </w:p>
    <w:p w:rsidR="00D14AD8" w:rsidRPr="000D2BD8" w:rsidRDefault="00D14AD8" w:rsidP="00D14AD8">
      <w:pPr>
        <w:autoSpaceDE w:val="0"/>
        <w:autoSpaceDN w:val="0"/>
        <w:adjustRightInd w:val="0"/>
        <w:spacing w:after="0" w:line="360" w:lineRule="auto"/>
        <w:ind w:left="720"/>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The applicant shall meet </w:t>
      </w:r>
      <w:proofErr w:type="gramStart"/>
      <w:r w:rsidRPr="000D2BD8">
        <w:rPr>
          <w:rFonts w:ascii="Times New Roman" w:hAnsi="Times New Roman"/>
          <w:sz w:val="24"/>
          <w:szCs w:val="24"/>
        </w:rPr>
        <w:t>only  the</w:t>
      </w:r>
      <w:proofErr w:type="gramEnd"/>
      <w:r w:rsidRPr="000D2BD8">
        <w:rPr>
          <w:rFonts w:ascii="Times New Roman" w:hAnsi="Times New Roman"/>
          <w:sz w:val="24"/>
          <w:szCs w:val="24"/>
        </w:rPr>
        <w:t xml:space="preserve"> costs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2</w:t>
      </w:r>
      <w:r w:rsidRPr="000D2BD8">
        <w:rPr>
          <w:rFonts w:ascii="Times New Roman" w:hAnsi="Times New Roman"/>
          <w:sz w:val="24"/>
          <w:szCs w:val="24"/>
          <w:vertAlign w:val="superscript"/>
        </w:rPr>
        <w:t>nd</w:t>
      </w:r>
      <w:r w:rsidRPr="000D2BD8">
        <w:rPr>
          <w:rFonts w:ascii="Times New Roman" w:hAnsi="Times New Roman"/>
          <w:sz w:val="24"/>
          <w:szCs w:val="24"/>
        </w:rPr>
        <w:t xml:space="preserve"> respondents.  Since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and 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did not respond to this application they shall not be entitled to costs.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autoSpaceDE w:val="0"/>
        <w:autoSpaceDN w:val="0"/>
        <w:adjustRightInd w:val="0"/>
        <w:spacing w:after="0" w:line="360" w:lineRule="auto"/>
        <w:jc w:val="both"/>
        <w:rPr>
          <w:rFonts w:ascii="Times New Roman" w:hAnsi="Times New Roman"/>
          <w:sz w:val="24"/>
          <w:szCs w:val="24"/>
        </w:rPr>
      </w:pPr>
    </w:p>
    <w:p w:rsidR="00D14AD8" w:rsidRPr="000D2BD8" w:rsidRDefault="00D14AD8" w:rsidP="00D14AD8">
      <w:pPr>
        <w:pStyle w:val="NoSpacing"/>
        <w:rPr>
          <w:rFonts w:ascii="Times New Roman" w:hAnsi="Times New Roman"/>
          <w:b/>
          <w:sz w:val="24"/>
          <w:szCs w:val="24"/>
        </w:rPr>
      </w:pPr>
      <w:r w:rsidRPr="000D2BD8">
        <w:rPr>
          <w:rFonts w:ascii="Times New Roman" w:hAnsi="Times New Roman"/>
          <w:b/>
          <w:sz w:val="24"/>
          <w:szCs w:val="24"/>
        </w:rPr>
        <w:t>EVA K. LUSWATA</w:t>
      </w:r>
    </w:p>
    <w:p w:rsidR="00D14AD8" w:rsidRPr="000D2BD8" w:rsidRDefault="00D14AD8" w:rsidP="00D14AD8">
      <w:pPr>
        <w:pStyle w:val="NoSpacing"/>
        <w:rPr>
          <w:rFonts w:ascii="Times New Roman" w:hAnsi="Times New Roman"/>
          <w:b/>
          <w:sz w:val="24"/>
          <w:szCs w:val="24"/>
        </w:rPr>
      </w:pPr>
      <w:r w:rsidRPr="000D2BD8">
        <w:rPr>
          <w:rFonts w:ascii="Times New Roman" w:hAnsi="Times New Roman"/>
          <w:b/>
          <w:sz w:val="24"/>
          <w:szCs w:val="24"/>
        </w:rPr>
        <w:t>JUDGE</w:t>
      </w:r>
    </w:p>
    <w:p w:rsidR="00D14AD8" w:rsidRPr="000D2BD8" w:rsidRDefault="00D14AD8" w:rsidP="00D14AD8">
      <w:pPr>
        <w:autoSpaceDE w:val="0"/>
        <w:autoSpaceDN w:val="0"/>
        <w:adjustRightInd w:val="0"/>
        <w:spacing w:after="0" w:line="360" w:lineRule="auto"/>
        <w:jc w:val="both"/>
        <w:rPr>
          <w:rFonts w:ascii="Times New Roman" w:hAnsi="Times New Roman"/>
          <w:b/>
          <w:sz w:val="24"/>
          <w:szCs w:val="24"/>
        </w:rPr>
      </w:pPr>
      <w:r w:rsidRPr="000D2BD8">
        <w:rPr>
          <w:rFonts w:ascii="Times New Roman" w:hAnsi="Times New Roman"/>
          <w:b/>
          <w:sz w:val="24"/>
          <w:szCs w:val="24"/>
        </w:rPr>
        <w:t>12</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December 2014</w:t>
      </w: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54E"/>
    <w:multiLevelType w:val="hybridMultilevel"/>
    <w:tmpl w:val="E83E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7202D"/>
    <w:multiLevelType w:val="hybridMultilevel"/>
    <w:tmpl w:val="3F7C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B76C3"/>
    <w:multiLevelType w:val="hybridMultilevel"/>
    <w:tmpl w:val="DEDA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D8"/>
    <w:rsid w:val="009A77C0"/>
    <w:rsid w:val="00D1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AD8"/>
    <w:pPr>
      <w:spacing w:after="0" w:line="240" w:lineRule="auto"/>
    </w:pPr>
    <w:rPr>
      <w:rFonts w:ascii="Calibri" w:eastAsia="Calibri" w:hAnsi="Calibri" w:cs="Times New Roman"/>
    </w:rPr>
  </w:style>
  <w:style w:type="paragraph" w:styleId="ListParagraph">
    <w:name w:val="List Paragraph"/>
    <w:basedOn w:val="Normal"/>
    <w:uiPriority w:val="34"/>
    <w:qFormat/>
    <w:rsid w:val="00D14AD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AD8"/>
    <w:pPr>
      <w:spacing w:after="0" w:line="240" w:lineRule="auto"/>
    </w:pPr>
    <w:rPr>
      <w:rFonts w:ascii="Calibri" w:eastAsia="Calibri" w:hAnsi="Calibri" w:cs="Times New Roman"/>
    </w:rPr>
  </w:style>
  <w:style w:type="paragraph" w:styleId="ListParagraph">
    <w:name w:val="List Paragraph"/>
    <w:basedOn w:val="Normal"/>
    <w:uiPriority w:val="34"/>
    <w:qFormat/>
    <w:rsid w:val="00D14AD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2017-02-01T12:18:00Z</dcterms:created>
  <dcterms:modified xsi:type="dcterms:W3CDTF">2017-02-01T12:19:00Z</dcterms:modified>
</cp:coreProperties>
</file>