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THE REPBLIC OF UGANDA</w:t>
      </w:r>
    </w:p>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IN THE HIGH COURT OF UGANDA AT KAMPALA</w:t>
      </w:r>
    </w:p>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(CIVIL DIVISION)</w:t>
      </w:r>
    </w:p>
    <w:p w:rsidR="00370FB0" w:rsidRPr="00CB03F8" w:rsidRDefault="00370FB0" w:rsidP="00370FB0">
      <w:pPr>
        <w:pStyle w:val="BodyA"/>
        <w:jc w:val="center"/>
        <w:rPr>
          <w:rFonts w:ascii="Times New Roman" w:eastAsia="Optima" w:hAnsi="Times New Roman" w:cs="Times New Roman"/>
          <w:b/>
          <w:bCs/>
        </w:rPr>
      </w:pPr>
    </w:p>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MISC. APPLICATION NO.696 OF 2018</w:t>
      </w:r>
    </w:p>
    <w:p w:rsidR="00370FB0" w:rsidRPr="00CB03F8" w:rsidRDefault="00370FB0" w:rsidP="00370FB0">
      <w:pPr>
        <w:pStyle w:val="BodyA"/>
        <w:jc w:val="center"/>
        <w:rPr>
          <w:rFonts w:ascii="Times New Roman" w:eastAsia="Optima" w:hAnsi="Times New Roman" w:cs="Times New Roman"/>
          <w:b/>
          <w:bCs/>
        </w:rPr>
      </w:pPr>
    </w:p>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[Arising from Misc. Application No. 039 of 2018; Misc. Application No.850 of 2017 and Misc. Cause No. 414 of 2017]</w:t>
      </w:r>
    </w:p>
    <w:p w:rsidR="00370FB0" w:rsidRPr="00CB03F8" w:rsidRDefault="00370FB0" w:rsidP="00370FB0">
      <w:pPr>
        <w:pStyle w:val="BodyA"/>
        <w:rPr>
          <w:rFonts w:ascii="Times New Roman" w:eastAsia="Optima" w:hAnsi="Times New Roman" w:cs="Times New Roman"/>
          <w:b/>
          <w:bCs/>
        </w:rPr>
      </w:pPr>
    </w:p>
    <w:p w:rsidR="00370FB0" w:rsidRPr="00CB03F8" w:rsidRDefault="00370FB0" w:rsidP="00370FB0">
      <w:pPr>
        <w:pStyle w:val="BodyA"/>
        <w:rPr>
          <w:rFonts w:ascii="Times New Roman" w:eastAsia="Optima" w:hAnsi="Times New Roman" w:cs="Times New Roman"/>
          <w:b/>
          <w:bCs/>
        </w:rPr>
      </w:pPr>
      <w:r w:rsidRPr="00CB03F8">
        <w:rPr>
          <w:rFonts w:ascii="Times New Roman" w:hAnsi="Times New Roman" w:cs="Times New Roman"/>
          <w:b/>
          <w:bCs/>
          <w:lang w:val="pt-PT"/>
        </w:rPr>
        <w:t>BISHOP JACINTO KIBUUKA:::::::::::::::::::::::::::::::::::::::::::::::APPLICANT</w:t>
      </w:r>
    </w:p>
    <w:p w:rsidR="00370FB0" w:rsidRPr="00CB03F8" w:rsidRDefault="00370FB0" w:rsidP="00370FB0">
      <w:pPr>
        <w:pStyle w:val="BodyA"/>
        <w:rPr>
          <w:rFonts w:ascii="Times New Roman" w:eastAsia="Optima" w:hAnsi="Times New Roman" w:cs="Times New Roman"/>
          <w:b/>
          <w:bCs/>
        </w:rPr>
      </w:pPr>
    </w:p>
    <w:p w:rsidR="00370FB0" w:rsidRPr="00CB03F8" w:rsidRDefault="00370FB0" w:rsidP="00370FB0">
      <w:pPr>
        <w:pStyle w:val="BodyA"/>
        <w:jc w:val="center"/>
        <w:rPr>
          <w:rFonts w:ascii="Times New Roman" w:eastAsia="Optima" w:hAnsi="Times New Roman" w:cs="Times New Roman"/>
          <w:b/>
          <w:bCs/>
        </w:rPr>
      </w:pPr>
      <w:r w:rsidRPr="00CB03F8">
        <w:rPr>
          <w:rFonts w:ascii="Times New Roman" w:hAnsi="Times New Roman" w:cs="Times New Roman"/>
          <w:b/>
          <w:bCs/>
        </w:rPr>
        <w:t>VERSUS</w:t>
      </w:r>
    </w:p>
    <w:p w:rsidR="00370FB0" w:rsidRPr="00CB03F8" w:rsidRDefault="00370FB0" w:rsidP="00370FB0">
      <w:pPr>
        <w:pStyle w:val="ListParagraph"/>
        <w:numPr>
          <w:ilvl w:val="0"/>
          <w:numId w:val="2"/>
        </w:numPr>
        <w:rPr>
          <w:rFonts w:ascii="Times New Roman" w:eastAsia="Optima" w:hAnsi="Times New Roman" w:cs="Times New Roman"/>
          <w:b/>
          <w:bCs/>
        </w:rPr>
      </w:pPr>
      <w:r w:rsidRPr="00CB03F8">
        <w:rPr>
          <w:rFonts w:ascii="Times New Roman" w:hAnsi="Times New Roman" w:cs="Times New Roman"/>
          <w:b/>
          <w:bCs/>
        </w:rPr>
        <w:t>THE UGANDA CATHOLIC LAWYERS SOCIETY</w:t>
      </w:r>
    </w:p>
    <w:p w:rsidR="00370FB0" w:rsidRPr="00CB03F8" w:rsidRDefault="00370FB0" w:rsidP="00370FB0">
      <w:pPr>
        <w:pStyle w:val="ListParagraph"/>
        <w:numPr>
          <w:ilvl w:val="0"/>
          <w:numId w:val="2"/>
        </w:numPr>
        <w:rPr>
          <w:rFonts w:ascii="Times New Roman" w:eastAsia="Optima" w:hAnsi="Times New Roman" w:cs="Times New Roman"/>
          <w:b/>
          <w:bCs/>
        </w:rPr>
      </w:pPr>
      <w:r w:rsidRPr="00CB03F8">
        <w:rPr>
          <w:rFonts w:ascii="Times New Roman" w:hAnsi="Times New Roman" w:cs="Times New Roman"/>
          <w:b/>
          <w:bCs/>
        </w:rPr>
        <w:t>HON. SEWUNGU JOSEPH:::::::::::::::::::::::::::::::::::::::::RESPONDENTS</w:t>
      </w:r>
    </w:p>
    <w:p w:rsidR="00370FB0" w:rsidRPr="00CB03F8" w:rsidRDefault="00370FB0" w:rsidP="00370FB0">
      <w:pPr>
        <w:pStyle w:val="ListParagraph"/>
        <w:numPr>
          <w:ilvl w:val="0"/>
          <w:numId w:val="2"/>
        </w:numPr>
        <w:rPr>
          <w:rFonts w:ascii="Times New Roman" w:eastAsia="Optima" w:hAnsi="Times New Roman" w:cs="Times New Roman"/>
          <w:b/>
          <w:bCs/>
        </w:rPr>
      </w:pPr>
      <w:r w:rsidRPr="00CB03F8">
        <w:rPr>
          <w:rFonts w:ascii="Times New Roman" w:hAnsi="Times New Roman" w:cs="Times New Roman"/>
          <w:b/>
          <w:bCs/>
        </w:rPr>
        <w:t>JUDE MBABAALI</w:t>
      </w:r>
    </w:p>
    <w:p w:rsidR="00370FB0" w:rsidRPr="00CB03F8" w:rsidRDefault="00370FB0" w:rsidP="00370FB0">
      <w:pPr>
        <w:pStyle w:val="BodyA"/>
        <w:rPr>
          <w:rFonts w:ascii="Times New Roman" w:eastAsia="Optima" w:hAnsi="Times New Roman" w:cs="Times New Roman"/>
          <w:b/>
          <w:bCs/>
        </w:rPr>
      </w:pPr>
    </w:p>
    <w:p w:rsidR="00370FB0" w:rsidRPr="00CB03F8" w:rsidRDefault="00370FB0" w:rsidP="00370FB0">
      <w:pPr>
        <w:jc w:val="center"/>
        <w:rPr>
          <w:b/>
          <w:bCs/>
        </w:rPr>
      </w:pPr>
    </w:p>
    <w:p w:rsidR="00370FB0" w:rsidRPr="00CB03F8" w:rsidRDefault="00370FB0" w:rsidP="00370FB0">
      <w:pPr>
        <w:jc w:val="center"/>
        <w:rPr>
          <w:b/>
          <w:bCs/>
          <w:u w:val="single"/>
        </w:rPr>
      </w:pPr>
      <w:r w:rsidRPr="00CB03F8">
        <w:rPr>
          <w:b/>
          <w:bCs/>
          <w:u w:val="single"/>
        </w:rPr>
        <w:t>RULING</w:t>
      </w:r>
    </w:p>
    <w:p w:rsidR="00370FB0" w:rsidRPr="00CB03F8" w:rsidRDefault="00370FB0" w:rsidP="00370FB0">
      <w:pPr>
        <w:rPr>
          <w:b/>
          <w:bCs/>
        </w:rPr>
      </w:pPr>
    </w:p>
    <w:p w:rsidR="00370FB0" w:rsidRPr="00CB03F8" w:rsidRDefault="00370FB0" w:rsidP="00370FB0">
      <w:pPr>
        <w:rPr>
          <w:b/>
          <w:bCs/>
        </w:rPr>
      </w:pPr>
      <w:r w:rsidRPr="00CB03F8">
        <w:rPr>
          <w:b/>
          <w:bCs/>
        </w:rPr>
        <w:t>BEFORE: HON. JUSTICE SSEKAANA MUSA</w:t>
      </w:r>
    </w:p>
    <w:p w:rsidR="00370FB0" w:rsidRPr="00CB03F8" w:rsidRDefault="00370FB0" w:rsidP="00370FB0">
      <w:pPr>
        <w:rPr>
          <w:bCs/>
        </w:rPr>
      </w:pPr>
    </w:p>
    <w:p w:rsidR="00370FB0" w:rsidRPr="00CB03F8" w:rsidRDefault="00370FB0" w:rsidP="00370FB0">
      <w:pPr>
        <w:jc w:val="both"/>
        <w:rPr>
          <w:bCs/>
        </w:rPr>
      </w:pPr>
      <w:r w:rsidRPr="00CB03F8">
        <w:rPr>
          <w:bCs/>
        </w:rPr>
        <w:t xml:space="preserve">This is an application to set aside the dismissal of the applicant’s miscellaneous application No. </w:t>
      </w:r>
      <w:bookmarkStart w:id="0" w:name="_GoBack"/>
      <w:bookmarkEnd w:id="0"/>
      <w:r w:rsidRPr="00CB03F8">
        <w:rPr>
          <w:bCs/>
        </w:rPr>
        <w:t xml:space="preserve">039 of 2018 and reinstatement of the same to be heard on merits Order 9 rule 23, Order 52 rules 1 &amp; 3 of the Civil Procedure Rules. </w:t>
      </w:r>
    </w:p>
    <w:p w:rsidR="00D935D2" w:rsidRPr="00CB03F8" w:rsidRDefault="00D935D2" w:rsidP="00370FB0">
      <w:pPr>
        <w:jc w:val="both"/>
        <w:rPr>
          <w:bCs/>
        </w:rPr>
      </w:pPr>
    </w:p>
    <w:p w:rsidR="00370FB0" w:rsidRPr="00CB03F8" w:rsidRDefault="00370FB0" w:rsidP="00370FB0">
      <w:pPr>
        <w:jc w:val="both"/>
        <w:rPr>
          <w:bCs/>
        </w:rPr>
      </w:pPr>
      <w:r w:rsidRPr="00CB03F8">
        <w:rPr>
          <w:bCs/>
        </w:rPr>
        <w:t>This application has a checkered history as set out by the applicant and it is important that the same is reproduced as presented by the applicant’s counsel.</w:t>
      </w:r>
    </w:p>
    <w:p w:rsidR="00D935D2" w:rsidRPr="00CB03F8" w:rsidRDefault="00D935D2" w:rsidP="00D935D2">
      <w:pPr>
        <w:pStyle w:val="BodyA"/>
        <w:jc w:val="both"/>
        <w:rPr>
          <w:rFonts w:ascii="Times New Roman" w:eastAsia="Optima" w:hAnsi="Times New Roman" w:cs="Times New Roman"/>
        </w:rPr>
      </w:pPr>
      <w:r w:rsidRPr="00CB03F8">
        <w:rPr>
          <w:rFonts w:ascii="Times New Roman" w:hAnsi="Times New Roman" w:cs="Times New Roman"/>
        </w:rPr>
        <w:t>The Applicant filed Misc. Cause No. 414 of 2017 against the Respondents seeking, among others, that the private criminal proceedings in Criminal Case No. 940 of 2017 instituted by the Respondents at Chief Magistrates’ Court at Buganda Road are an infringement of his freedom to practice religion guaranteed under Article 29(1)(c) of the 1995 Constitution.</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During the pendency of Misc. Cause No. 414 of 2017, the Applicant filed Misc. Application No. 850 of 2017 seeking for temporary injunctive orders against the Respondents to restrain them from threatening the Applicant’s freedom of worship. The Respondents approached the Applicant’s lawyer with a view of exploring avenues of settling the court matters out of court. To demonstrate this desire, the Respondent forwarded a draft copy of the consent withdrawal to the Applicant’s lawyers who ably edited the same and returned it to the Respondents.</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 xml:space="preserve">When the matter came up in court for consideration of the parties’ intention to have a settlement, Respondents’ counsel presented the old version of the consent which had no input of the Applicant’s lawyers, and same was endorsed contrary to Applicant’s interest.  Mr. </w:t>
      </w:r>
      <w:proofErr w:type="spellStart"/>
      <w:r w:rsidRPr="00CB03F8">
        <w:rPr>
          <w:rFonts w:ascii="Times New Roman" w:hAnsi="Times New Roman" w:cs="Times New Roman"/>
        </w:rPr>
        <w:t>Wameli</w:t>
      </w:r>
      <w:proofErr w:type="spellEnd"/>
      <w:r w:rsidRPr="00CB03F8">
        <w:rPr>
          <w:rFonts w:ascii="Times New Roman" w:hAnsi="Times New Roman" w:cs="Times New Roman"/>
        </w:rPr>
        <w:t xml:space="preserve">, counsel for the Applicant who had personal conduct of the matter had instructed Mr. </w:t>
      </w:r>
      <w:proofErr w:type="spellStart"/>
      <w:r w:rsidRPr="00CB03F8">
        <w:rPr>
          <w:rFonts w:ascii="Times New Roman" w:hAnsi="Times New Roman" w:cs="Times New Roman"/>
        </w:rPr>
        <w:t>Wananda</w:t>
      </w:r>
      <w:proofErr w:type="spellEnd"/>
      <w:r w:rsidRPr="00CB03F8">
        <w:rPr>
          <w:rFonts w:ascii="Times New Roman" w:hAnsi="Times New Roman" w:cs="Times New Roman"/>
        </w:rPr>
        <w:t xml:space="preserve"> to hold his brief.</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lastRenderedPageBreak/>
        <w:t>The Applicant being aggrieved by the signed consent withdrawal which was contrary to the instructions to his lawyers, instructed the said lawyers to apply for and set aside of the said consent withdrawal order and same was filed in this court vide Misc. Application No.039 of 2018.</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 xml:space="preserve">When Misc. Application No. 039 of 2018 came up for hearing, the Applicant’s counsel (Mr. </w:t>
      </w:r>
      <w:proofErr w:type="spellStart"/>
      <w:r w:rsidRPr="00CB03F8">
        <w:rPr>
          <w:rFonts w:ascii="Times New Roman" w:hAnsi="Times New Roman" w:cs="Times New Roman"/>
        </w:rPr>
        <w:t>Wameli</w:t>
      </w:r>
      <w:proofErr w:type="spellEnd"/>
      <w:r w:rsidRPr="00CB03F8">
        <w:rPr>
          <w:rFonts w:ascii="Times New Roman" w:hAnsi="Times New Roman" w:cs="Times New Roman"/>
        </w:rPr>
        <w:t>) did not attend court owing to illness and neither did he brief another lawyer nor inform the Applicant to attend court. The application was therefore dismissed for non-appearance. The Applicant filed the instant application No. 696 of 2018 for reinstatement of Misc. Application No.039 of 2018 seeking for review and setting aside the Consent order passed in Misc. Application No. 850 of 2017 arising out of Misc. Cause No. 414 of 2017.</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The present application is in essence seeking for setting aside the orders of this court dismissing Misc. Application No. 039 of 2018 and orders for reinstatement of the said Application to be heard on its merits.</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hAnsi="Times New Roman" w:cs="Times New Roman"/>
        </w:rPr>
      </w:pPr>
      <w:r w:rsidRPr="00CB03F8">
        <w:rPr>
          <w:rFonts w:ascii="Times New Roman" w:hAnsi="Times New Roman" w:cs="Times New Roman"/>
        </w:rPr>
        <w:t xml:space="preserve">The applicant was represented by </w:t>
      </w:r>
      <w:proofErr w:type="spellStart"/>
      <w:r w:rsidRPr="00CB03F8">
        <w:rPr>
          <w:rFonts w:ascii="Times New Roman" w:hAnsi="Times New Roman" w:cs="Times New Roman"/>
        </w:rPr>
        <w:t>Wameli</w:t>
      </w:r>
      <w:proofErr w:type="spellEnd"/>
      <w:r w:rsidRPr="00CB03F8">
        <w:rPr>
          <w:rFonts w:ascii="Times New Roman" w:hAnsi="Times New Roman" w:cs="Times New Roman"/>
        </w:rPr>
        <w:t xml:space="preserve"> Anthony and later a law firm of </w:t>
      </w:r>
      <w:proofErr w:type="spellStart"/>
      <w:r w:rsidRPr="00CB03F8">
        <w:rPr>
          <w:rFonts w:ascii="Times New Roman" w:hAnsi="Times New Roman" w:cs="Times New Roman"/>
        </w:rPr>
        <w:t>Ssemambo</w:t>
      </w:r>
      <w:proofErr w:type="spellEnd"/>
      <w:r w:rsidRPr="00CB03F8">
        <w:rPr>
          <w:rFonts w:ascii="Times New Roman" w:hAnsi="Times New Roman" w:cs="Times New Roman"/>
        </w:rPr>
        <w:t xml:space="preserve"> and </w:t>
      </w:r>
      <w:proofErr w:type="spellStart"/>
      <w:r w:rsidRPr="00CB03F8">
        <w:rPr>
          <w:rFonts w:ascii="Times New Roman" w:hAnsi="Times New Roman" w:cs="Times New Roman"/>
        </w:rPr>
        <w:t>Ssemambo</w:t>
      </w:r>
      <w:proofErr w:type="spellEnd"/>
      <w:r w:rsidRPr="00CB03F8">
        <w:rPr>
          <w:rFonts w:ascii="Times New Roman" w:hAnsi="Times New Roman" w:cs="Times New Roman"/>
        </w:rPr>
        <w:t xml:space="preserve"> was instructed to take over the conduct of the matter later at the stage of filing submissions while the 3</w:t>
      </w:r>
      <w:r w:rsidRPr="00CB03F8">
        <w:rPr>
          <w:rFonts w:ascii="Times New Roman" w:hAnsi="Times New Roman" w:cs="Times New Roman"/>
          <w:vertAlign w:val="superscript"/>
        </w:rPr>
        <w:t>rd</w:t>
      </w:r>
      <w:r w:rsidRPr="00CB03F8">
        <w:rPr>
          <w:rFonts w:ascii="Times New Roman" w:hAnsi="Times New Roman" w:cs="Times New Roman"/>
        </w:rPr>
        <w:t xml:space="preserve"> respondent appeared personally but his lawyer </w:t>
      </w:r>
      <w:proofErr w:type="spellStart"/>
      <w:r w:rsidRPr="00CB03F8">
        <w:rPr>
          <w:rFonts w:ascii="Times New Roman" w:hAnsi="Times New Roman" w:cs="Times New Roman"/>
        </w:rPr>
        <w:t>Ssemwanga</w:t>
      </w:r>
      <w:proofErr w:type="spellEnd"/>
      <w:r w:rsidRPr="00CB03F8">
        <w:rPr>
          <w:rFonts w:ascii="Times New Roman" w:hAnsi="Times New Roman" w:cs="Times New Roman"/>
        </w:rPr>
        <w:t xml:space="preserve"> was not present in court.</w:t>
      </w:r>
    </w:p>
    <w:p w:rsidR="00D935D2" w:rsidRPr="00CB03F8" w:rsidRDefault="00D935D2" w:rsidP="00D935D2">
      <w:pPr>
        <w:pStyle w:val="BodyA"/>
        <w:ind w:left="-360"/>
        <w:jc w:val="both"/>
        <w:rPr>
          <w:rFonts w:ascii="Times New Roman"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 xml:space="preserve">The applicant’s counsel submitted that the Applicant in order to succeed in this Application brought under Order 9 Rule 23 (1) of CPR has to demonstrate to the satisfaction of court that there is </w:t>
      </w:r>
      <w:r w:rsidRPr="00CB03F8">
        <w:rPr>
          <w:rFonts w:ascii="Times New Roman" w:hAnsi="Times New Roman" w:cs="Times New Roman"/>
          <w:b/>
          <w:bCs/>
        </w:rPr>
        <w:t>sufficient cause</w:t>
      </w:r>
      <w:r w:rsidRPr="00CB03F8">
        <w:rPr>
          <w:rFonts w:ascii="Times New Roman" w:hAnsi="Times New Roman" w:cs="Times New Roman"/>
        </w:rPr>
        <w:t xml:space="preserve"> that prevent him from none appearance in court when the Application was called up for hearing. </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The powers of this court to exercise its discretion to set aside and reinstate the dismissed application are not in dispute. What is important to demonstrate to court is whether the Applicant has sufficient cause to warrant the setting aside and reinstatement of the dismissed Application.</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spacing w:before="150" w:after="150"/>
        <w:ind w:left="-360"/>
        <w:jc w:val="both"/>
        <w:rPr>
          <w:rFonts w:ascii="Times New Roman" w:eastAsia="Optima" w:hAnsi="Times New Roman" w:cs="Times New Roman"/>
        </w:rPr>
      </w:pPr>
      <w:r w:rsidRPr="00CB03F8">
        <w:rPr>
          <w:rFonts w:ascii="Times New Roman" w:hAnsi="Times New Roman" w:cs="Times New Roman"/>
        </w:rPr>
        <w:t>The term sufficient cause has received extensive adjudication on its meaning. In the case of</w:t>
      </w:r>
      <w:r w:rsidRPr="00CB03F8">
        <w:rPr>
          <w:rFonts w:ascii="Times New Roman" w:hAnsi="Times New Roman" w:cs="Times New Roman"/>
          <w:b/>
          <w:bCs/>
          <w:i/>
          <w:iCs/>
        </w:rPr>
        <w:t xml:space="preserve"> The Registered Trustees of the Archdiocese of Dar </w:t>
      </w:r>
      <w:proofErr w:type="spellStart"/>
      <w:r w:rsidRPr="00CB03F8">
        <w:rPr>
          <w:rFonts w:ascii="Times New Roman" w:hAnsi="Times New Roman" w:cs="Times New Roman"/>
          <w:b/>
          <w:bCs/>
          <w:i/>
          <w:iCs/>
        </w:rPr>
        <w:t>es</w:t>
      </w:r>
      <w:proofErr w:type="spellEnd"/>
      <w:r w:rsidRPr="00CB03F8">
        <w:rPr>
          <w:rFonts w:ascii="Times New Roman" w:hAnsi="Times New Roman" w:cs="Times New Roman"/>
          <w:b/>
          <w:bCs/>
          <w:i/>
          <w:iCs/>
        </w:rPr>
        <w:t xml:space="preserve"> Salaam </w:t>
      </w:r>
      <w:proofErr w:type="spellStart"/>
      <w:r w:rsidRPr="00CB03F8">
        <w:rPr>
          <w:rFonts w:ascii="Times New Roman" w:hAnsi="Times New Roman" w:cs="Times New Roman"/>
          <w:b/>
          <w:bCs/>
          <w:i/>
          <w:iCs/>
        </w:rPr>
        <w:t>vs</w:t>
      </w:r>
      <w:proofErr w:type="spellEnd"/>
      <w:r w:rsidRPr="00CB03F8">
        <w:rPr>
          <w:rFonts w:ascii="Times New Roman" w:hAnsi="Times New Roman" w:cs="Times New Roman"/>
          <w:b/>
          <w:bCs/>
          <w:i/>
          <w:iCs/>
        </w:rPr>
        <w:t xml:space="preserve"> The Chairman  </w:t>
      </w:r>
      <w:proofErr w:type="spellStart"/>
      <w:r w:rsidRPr="00CB03F8">
        <w:rPr>
          <w:rFonts w:ascii="Times New Roman" w:hAnsi="Times New Roman" w:cs="Times New Roman"/>
          <w:b/>
          <w:bCs/>
          <w:i/>
          <w:iCs/>
        </w:rPr>
        <w:t>Bunju</w:t>
      </w:r>
      <w:proofErr w:type="spellEnd"/>
      <w:r w:rsidRPr="00CB03F8">
        <w:rPr>
          <w:rFonts w:ascii="Times New Roman" w:hAnsi="Times New Roman" w:cs="Times New Roman"/>
          <w:b/>
          <w:bCs/>
          <w:i/>
          <w:iCs/>
        </w:rPr>
        <w:t xml:space="preserve"> Village Government &amp; Others </w:t>
      </w:r>
      <w:r w:rsidRPr="00CB03F8">
        <w:rPr>
          <w:rFonts w:ascii="Times New Roman" w:hAnsi="Times New Roman" w:cs="Times New Roman"/>
          <w:i/>
          <w:iCs/>
        </w:rPr>
        <w:t>quoted in</w:t>
      </w:r>
      <w:r w:rsidRPr="00CB03F8">
        <w:rPr>
          <w:rFonts w:ascii="Times New Roman" w:hAnsi="Times New Roman" w:cs="Times New Roman"/>
          <w:b/>
          <w:bCs/>
          <w:i/>
          <w:iCs/>
        </w:rPr>
        <w:t xml:space="preserve"> Gideon </w:t>
      </w:r>
      <w:proofErr w:type="spellStart"/>
      <w:r w:rsidRPr="00CB03F8">
        <w:rPr>
          <w:rFonts w:ascii="Times New Roman" w:hAnsi="Times New Roman" w:cs="Times New Roman"/>
          <w:b/>
          <w:bCs/>
          <w:i/>
          <w:iCs/>
        </w:rPr>
        <w:t>Mosa</w:t>
      </w:r>
      <w:proofErr w:type="spellEnd"/>
      <w:r w:rsidRPr="00CB03F8">
        <w:rPr>
          <w:rFonts w:ascii="Times New Roman" w:hAnsi="Times New Roman" w:cs="Times New Roman"/>
          <w:b/>
          <w:bCs/>
          <w:i/>
          <w:iCs/>
        </w:rPr>
        <w:t xml:space="preserve"> </w:t>
      </w:r>
      <w:proofErr w:type="spellStart"/>
      <w:r w:rsidRPr="00CB03F8">
        <w:rPr>
          <w:rFonts w:ascii="Times New Roman" w:hAnsi="Times New Roman" w:cs="Times New Roman"/>
          <w:b/>
          <w:bCs/>
          <w:i/>
          <w:iCs/>
        </w:rPr>
        <w:t>Onchwati</w:t>
      </w:r>
      <w:proofErr w:type="spellEnd"/>
      <w:r w:rsidRPr="00CB03F8">
        <w:rPr>
          <w:rFonts w:ascii="Times New Roman" w:hAnsi="Times New Roman" w:cs="Times New Roman"/>
          <w:b/>
          <w:bCs/>
          <w:i/>
          <w:iCs/>
        </w:rPr>
        <w:t xml:space="preserve"> </w:t>
      </w:r>
      <w:proofErr w:type="spellStart"/>
      <w:r w:rsidRPr="00CB03F8">
        <w:rPr>
          <w:rFonts w:ascii="Times New Roman" w:hAnsi="Times New Roman" w:cs="Times New Roman"/>
          <w:b/>
          <w:bCs/>
          <w:i/>
          <w:iCs/>
        </w:rPr>
        <w:t>vs</w:t>
      </w:r>
      <w:proofErr w:type="spellEnd"/>
      <w:r w:rsidRPr="00CB03F8">
        <w:rPr>
          <w:rFonts w:ascii="Times New Roman" w:hAnsi="Times New Roman" w:cs="Times New Roman"/>
          <w:b/>
          <w:bCs/>
          <w:i/>
          <w:iCs/>
        </w:rPr>
        <w:t xml:space="preserve"> Kenya Oil Co. Ltd &amp; Another [2017] </w:t>
      </w:r>
      <w:proofErr w:type="spellStart"/>
      <w:r w:rsidRPr="00CB03F8">
        <w:rPr>
          <w:rFonts w:ascii="Times New Roman" w:hAnsi="Times New Roman" w:cs="Times New Roman"/>
          <w:b/>
          <w:bCs/>
          <w:i/>
          <w:iCs/>
        </w:rPr>
        <w:t>eKLR</w:t>
      </w:r>
      <w:proofErr w:type="spellEnd"/>
      <w:r w:rsidRPr="00CB03F8">
        <w:rPr>
          <w:rFonts w:ascii="Times New Roman" w:hAnsi="Times New Roman" w:cs="Times New Roman"/>
        </w:rPr>
        <w:t xml:space="preserve"> discussing what constitutes </w:t>
      </w:r>
      <w:r w:rsidRPr="00CB03F8">
        <w:rPr>
          <w:rFonts w:ascii="Times New Roman" w:hAnsi="Times New Roman" w:cs="Times New Roman"/>
          <w:b/>
          <w:bCs/>
          <w:i/>
          <w:iCs/>
        </w:rPr>
        <w:t>sufficient cause</w:t>
      </w:r>
      <w:r w:rsidRPr="00CB03F8">
        <w:rPr>
          <w:rFonts w:ascii="Times New Roman" w:hAnsi="Times New Roman" w:cs="Times New Roman"/>
        </w:rPr>
        <w:t xml:space="preserve"> had this to say:-</w:t>
      </w:r>
    </w:p>
    <w:p w:rsidR="00D935D2" w:rsidRPr="00CB03F8" w:rsidRDefault="00D935D2" w:rsidP="00D935D2">
      <w:pPr>
        <w:pStyle w:val="BodyA"/>
        <w:spacing w:before="150" w:after="150"/>
        <w:ind w:left="-360"/>
        <w:jc w:val="both"/>
        <w:rPr>
          <w:rFonts w:ascii="Times New Roman" w:eastAsia="Optima" w:hAnsi="Times New Roman" w:cs="Times New Roman"/>
        </w:rPr>
      </w:pPr>
      <w:r w:rsidRPr="00CB03F8">
        <w:rPr>
          <w:rFonts w:ascii="Times New Roman" w:hAnsi="Times New Roman" w:cs="Times New Roman"/>
        </w:rPr>
        <w:t xml:space="preserve"> </w:t>
      </w:r>
      <w:r w:rsidRPr="00CB03F8">
        <w:rPr>
          <w:rFonts w:ascii="Times New Roman" w:hAnsi="Times New Roman" w:cs="Times New Roman"/>
          <w:b/>
          <w:bCs/>
          <w:i/>
          <w:iCs/>
        </w:rPr>
        <w:t xml:space="preserve">“It is difficult to attempt to define the meaning of the words ‘sufficient cause’. It is generally accepted however, that the words should receive a liberal construction in order to advance substantial justice, when no negligence, or inaction or want of bona fides, is imputed to the appellant.” </w:t>
      </w:r>
    </w:p>
    <w:p w:rsidR="00D935D2" w:rsidRPr="00CB03F8" w:rsidRDefault="00D935D2" w:rsidP="00D935D2">
      <w:pPr>
        <w:pStyle w:val="BodyA"/>
        <w:spacing w:before="150" w:after="150"/>
        <w:ind w:left="-360"/>
        <w:jc w:val="both"/>
        <w:rPr>
          <w:rFonts w:ascii="Times New Roman" w:eastAsia="Optima" w:hAnsi="Times New Roman" w:cs="Times New Roman"/>
        </w:rPr>
      </w:pPr>
      <w:r w:rsidRPr="00CB03F8">
        <w:rPr>
          <w:rFonts w:ascii="Times New Roman" w:hAnsi="Times New Roman" w:cs="Times New Roman"/>
        </w:rPr>
        <w:t xml:space="preserve">In the same Kenyan authority of </w:t>
      </w:r>
      <w:r w:rsidRPr="00CB03F8">
        <w:rPr>
          <w:rFonts w:ascii="Times New Roman" w:hAnsi="Times New Roman" w:cs="Times New Roman"/>
          <w:b/>
          <w:bCs/>
        </w:rPr>
        <w:t xml:space="preserve">Gideon </w:t>
      </w:r>
      <w:proofErr w:type="spellStart"/>
      <w:r w:rsidRPr="00CB03F8">
        <w:rPr>
          <w:rFonts w:ascii="Times New Roman" w:hAnsi="Times New Roman" w:cs="Times New Roman"/>
          <w:b/>
          <w:bCs/>
        </w:rPr>
        <w:t>Mosa</w:t>
      </w:r>
      <w:proofErr w:type="spellEnd"/>
      <w:r w:rsidRPr="00CB03F8">
        <w:rPr>
          <w:rFonts w:ascii="Times New Roman" w:hAnsi="Times New Roman" w:cs="Times New Roman"/>
          <w:b/>
          <w:bCs/>
        </w:rPr>
        <w:t xml:space="preserve"> </w:t>
      </w:r>
      <w:proofErr w:type="spellStart"/>
      <w:r w:rsidRPr="00CB03F8">
        <w:rPr>
          <w:rFonts w:ascii="Times New Roman" w:hAnsi="Times New Roman" w:cs="Times New Roman"/>
          <w:b/>
          <w:bCs/>
        </w:rPr>
        <w:t>Onchwati</w:t>
      </w:r>
      <w:proofErr w:type="spellEnd"/>
      <w:r w:rsidRPr="00CB03F8">
        <w:rPr>
          <w:rFonts w:ascii="Times New Roman" w:hAnsi="Times New Roman" w:cs="Times New Roman"/>
        </w:rPr>
        <w:t xml:space="preserve"> (supra) reliance was made on the Supreme Court of India case of </w:t>
      </w:r>
      <w:proofErr w:type="spellStart"/>
      <w:r w:rsidRPr="00CB03F8">
        <w:rPr>
          <w:rFonts w:ascii="Times New Roman" w:hAnsi="Times New Roman" w:cs="Times New Roman"/>
          <w:b/>
          <w:bCs/>
          <w:i/>
          <w:iCs/>
        </w:rPr>
        <w:t>Parimal</w:t>
      </w:r>
      <w:proofErr w:type="spellEnd"/>
      <w:r w:rsidRPr="00CB03F8">
        <w:rPr>
          <w:rFonts w:ascii="Times New Roman" w:hAnsi="Times New Roman" w:cs="Times New Roman"/>
          <w:b/>
          <w:bCs/>
          <w:i/>
          <w:iCs/>
        </w:rPr>
        <w:t xml:space="preserve"> </w:t>
      </w:r>
      <w:proofErr w:type="spellStart"/>
      <w:r w:rsidRPr="00CB03F8">
        <w:rPr>
          <w:rFonts w:ascii="Times New Roman" w:hAnsi="Times New Roman" w:cs="Times New Roman"/>
          <w:b/>
          <w:bCs/>
          <w:i/>
          <w:iCs/>
        </w:rPr>
        <w:t>vs</w:t>
      </w:r>
      <w:proofErr w:type="spellEnd"/>
      <w:r w:rsidRPr="00CB03F8">
        <w:rPr>
          <w:rFonts w:ascii="Times New Roman" w:hAnsi="Times New Roman" w:cs="Times New Roman"/>
          <w:b/>
          <w:bCs/>
          <w:i/>
          <w:iCs/>
        </w:rPr>
        <w:t xml:space="preserve"> </w:t>
      </w:r>
      <w:proofErr w:type="spellStart"/>
      <w:r w:rsidRPr="00CB03F8">
        <w:rPr>
          <w:rFonts w:ascii="Times New Roman" w:hAnsi="Times New Roman" w:cs="Times New Roman"/>
          <w:b/>
          <w:bCs/>
          <w:i/>
          <w:iCs/>
        </w:rPr>
        <w:t>Veena</w:t>
      </w:r>
      <w:proofErr w:type="spellEnd"/>
      <w:r w:rsidRPr="00CB03F8">
        <w:rPr>
          <w:rFonts w:ascii="Times New Roman" w:hAnsi="Times New Roman" w:cs="Times New Roman"/>
          <w:i/>
          <w:iCs/>
        </w:rPr>
        <w:t xml:space="preserve"> which attempted to describe what was </w:t>
      </w:r>
      <w:r w:rsidRPr="00CB03F8">
        <w:rPr>
          <w:rFonts w:ascii="Times New Roman" w:hAnsi="Times New Roman" w:cs="Times New Roman"/>
          <w:b/>
          <w:bCs/>
          <w:i/>
          <w:iCs/>
        </w:rPr>
        <w:t>"Sufficient cause"</w:t>
      </w:r>
      <w:r w:rsidRPr="00CB03F8">
        <w:rPr>
          <w:rFonts w:ascii="Times New Roman" w:hAnsi="Times New Roman" w:cs="Times New Roman"/>
        </w:rPr>
        <w:t xml:space="preserve"> when it observed that:-</w:t>
      </w:r>
    </w:p>
    <w:p w:rsidR="00D935D2" w:rsidRPr="00CB03F8" w:rsidRDefault="00D935D2" w:rsidP="00D935D2">
      <w:pPr>
        <w:pStyle w:val="BodyA"/>
        <w:spacing w:before="150" w:after="150"/>
        <w:ind w:left="-360"/>
        <w:jc w:val="both"/>
        <w:rPr>
          <w:rFonts w:ascii="Times New Roman" w:eastAsia="Optima" w:hAnsi="Times New Roman" w:cs="Times New Roman"/>
          <w:i/>
          <w:iCs/>
        </w:rPr>
      </w:pPr>
      <w:r w:rsidRPr="00CB03F8">
        <w:rPr>
          <w:rFonts w:ascii="Times New Roman" w:hAnsi="Times New Roman" w:cs="Times New Roman"/>
        </w:rPr>
        <w:t xml:space="preserve"> </w:t>
      </w:r>
      <w:r w:rsidRPr="00CB03F8">
        <w:rPr>
          <w:rFonts w:ascii="Times New Roman" w:hAnsi="Times New Roman" w:cs="Times New Roman"/>
          <w:i/>
          <w:iCs/>
        </w:rPr>
        <w:t>"</w:t>
      </w:r>
      <w:r w:rsidRPr="00CB03F8">
        <w:rPr>
          <w:rFonts w:ascii="Times New Roman" w:hAnsi="Times New Roman" w:cs="Times New Roman"/>
          <w:b/>
          <w:bCs/>
          <w:i/>
          <w:iCs/>
        </w:rPr>
        <w:t>Sufficient cause</w:t>
      </w:r>
      <w:r w:rsidRPr="00CB03F8">
        <w:rPr>
          <w:rFonts w:ascii="Times New Roman" w:hAnsi="Times New Roman" w:cs="Times New Roman"/>
          <w:i/>
          <w:iCs/>
        </w:rPr>
        <w:t xml:space="preserve">" is an expression which has been used in large number of statutes. The meaning of the word </w:t>
      </w:r>
      <w:r w:rsidRPr="00CB03F8">
        <w:rPr>
          <w:rFonts w:ascii="Times New Roman" w:hAnsi="Times New Roman" w:cs="Times New Roman"/>
          <w:b/>
          <w:bCs/>
          <w:i/>
          <w:iCs/>
          <w:lang w:val="it-IT"/>
        </w:rPr>
        <w:t>"sufficient"</w:t>
      </w:r>
      <w:r w:rsidRPr="00CB03F8">
        <w:rPr>
          <w:rFonts w:ascii="Times New Roman" w:hAnsi="Times New Roman" w:cs="Times New Roman"/>
          <w:i/>
          <w:iCs/>
          <w:lang w:val="nl-NL"/>
        </w:rPr>
        <w:t xml:space="preserve"> is </w:t>
      </w:r>
      <w:r w:rsidRPr="00CB03F8">
        <w:rPr>
          <w:rFonts w:ascii="Times New Roman" w:hAnsi="Times New Roman" w:cs="Times New Roman"/>
          <w:b/>
          <w:bCs/>
          <w:i/>
          <w:iCs/>
          <w:lang w:val="fr-FR"/>
        </w:rPr>
        <w:t>"</w:t>
      </w:r>
      <w:proofErr w:type="spellStart"/>
      <w:r w:rsidRPr="00CB03F8">
        <w:rPr>
          <w:rFonts w:ascii="Times New Roman" w:hAnsi="Times New Roman" w:cs="Times New Roman"/>
          <w:b/>
          <w:bCs/>
          <w:i/>
          <w:iCs/>
          <w:lang w:val="fr-FR"/>
        </w:rPr>
        <w:t>adequate</w:t>
      </w:r>
      <w:proofErr w:type="spellEnd"/>
      <w:r w:rsidRPr="00CB03F8">
        <w:rPr>
          <w:rFonts w:ascii="Times New Roman" w:hAnsi="Times New Roman" w:cs="Times New Roman"/>
          <w:b/>
          <w:bCs/>
          <w:i/>
          <w:iCs/>
          <w:lang w:val="fr-FR"/>
        </w:rPr>
        <w:t>"</w:t>
      </w:r>
      <w:r w:rsidRPr="00CB03F8">
        <w:rPr>
          <w:rFonts w:ascii="Times New Roman" w:hAnsi="Times New Roman" w:cs="Times New Roman"/>
          <w:i/>
          <w:iCs/>
        </w:rPr>
        <w:t xml:space="preserve"> or </w:t>
      </w:r>
      <w:r w:rsidRPr="00CB03F8">
        <w:rPr>
          <w:rFonts w:ascii="Times New Roman" w:hAnsi="Times New Roman" w:cs="Times New Roman"/>
          <w:b/>
          <w:bCs/>
          <w:i/>
          <w:iCs/>
        </w:rPr>
        <w:t>"enough"</w:t>
      </w:r>
      <w:r w:rsidRPr="00CB03F8">
        <w:rPr>
          <w:rFonts w:ascii="Times New Roman" w:hAnsi="Times New Roman" w:cs="Times New Roman"/>
          <w:i/>
          <w:iCs/>
        </w:rPr>
        <w:t xml:space="preserve">, in as much as may be necessary to answer the purpose intended. Therefore the word </w:t>
      </w:r>
      <w:r w:rsidRPr="00CB03F8">
        <w:rPr>
          <w:rFonts w:ascii="Times New Roman" w:hAnsi="Times New Roman" w:cs="Times New Roman"/>
          <w:b/>
          <w:bCs/>
          <w:i/>
          <w:iCs/>
          <w:lang w:val="it-IT"/>
        </w:rPr>
        <w:t xml:space="preserve">"sufficient" </w:t>
      </w:r>
      <w:r w:rsidRPr="00CB03F8">
        <w:rPr>
          <w:rFonts w:ascii="Times New Roman" w:hAnsi="Times New Roman" w:cs="Times New Roman"/>
          <w:i/>
          <w:iCs/>
        </w:rPr>
        <w:t xml:space="preserve">embraces no more than that which provides a platitude which when the act done suffices to accomplish the purpose intended in the facts and </w:t>
      </w:r>
      <w:r w:rsidRPr="00CB03F8">
        <w:rPr>
          <w:rFonts w:ascii="Times New Roman" w:hAnsi="Times New Roman" w:cs="Times New Roman"/>
          <w:i/>
          <w:iCs/>
        </w:rPr>
        <w:lastRenderedPageBreak/>
        <w:t xml:space="preserve">circumstances existing in a case and duly examined from the view point of a reasonable standard of a curious man. In this context, </w:t>
      </w:r>
      <w:r w:rsidRPr="00CB03F8">
        <w:rPr>
          <w:rFonts w:ascii="Times New Roman" w:hAnsi="Times New Roman" w:cs="Times New Roman"/>
          <w:b/>
          <w:bCs/>
          <w:i/>
          <w:iCs/>
        </w:rPr>
        <w:t>"sufficient cause"</w:t>
      </w:r>
      <w:r w:rsidRPr="00CB03F8">
        <w:rPr>
          <w:rFonts w:ascii="Times New Roman" w:hAnsi="Times New Roman" w:cs="Times New Roman"/>
          <w:i/>
          <w:iCs/>
        </w:rPr>
        <w:t xml:space="preserve"> means that party had not acted in a negligent manner or there was want of bona fide on its part in view of the facts and circumstances of a case or the party cannot be alleged to have been </w:t>
      </w:r>
      <w:r w:rsidRPr="00CB03F8">
        <w:rPr>
          <w:rFonts w:ascii="Times New Roman" w:hAnsi="Times New Roman" w:cs="Times New Roman"/>
          <w:b/>
          <w:bCs/>
          <w:i/>
          <w:iCs/>
        </w:rPr>
        <w:t>"not acting diligently"</w:t>
      </w:r>
      <w:r w:rsidRPr="00CB03F8">
        <w:rPr>
          <w:rFonts w:ascii="Times New Roman" w:hAnsi="Times New Roman" w:cs="Times New Roman"/>
          <w:i/>
          <w:iCs/>
        </w:rPr>
        <w:t xml:space="preserve"> or </w:t>
      </w:r>
      <w:r w:rsidRPr="00CB03F8">
        <w:rPr>
          <w:rFonts w:ascii="Times New Roman" w:hAnsi="Times New Roman" w:cs="Times New Roman"/>
          <w:b/>
          <w:bCs/>
          <w:i/>
          <w:iCs/>
        </w:rPr>
        <w:t>"remaining inactive."</w:t>
      </w:r>
      <w:r w:rsidRPr="00CB03F8">
        <w:rPr>
          <w:rFonts w:ascii="Times New Roman" w:hAnsi="Times New Roman" w:cs="Times New Roman"/>
          <w:i/>
          <w:iCs/>
        </w:rPr>
        <w:t xml:space="preserve"> However, the facts and circumstances of each case must afford sufficient ground to enable the court concerned to exercise discretion for the reason that whenever the court exercises discretion, it has to be exercised judiciously"</w:t>
      </w: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 xml:space="preserve">In the instant Application, the Applicant by way of affidavit set out </w:t>
      </w:r>
      <w:r w:rsidR="00A85976" w:rsidRPr="00CB03F8">
        <w:rPr>
          <w:rFonts w:ascii="Times New Roman" w:hAnsi="Times New Roman" w:cs="Times New Roman"/>
        </w:rPr>
        <w:t>circumstances and</w:t>
      </w:r>
      <w:r w:rsidRPr="00CB03F8">
        <w:rPr>
          <w:rFonts w:ascii="Times New Roman" w:hAnsi="Times New Roman" w:cs="Times New Roman"/>
        </w:rPr>
        <w:t xml:space="preserve"> matters which prevented him from attending court and the circumstances under which the Application was dismissed when it was called up for hearing on 1</w:t>
      </w:r>
      <w:r w:rsidRPr="00CB03F8">
        <w:rPr>
          <w:rFonts w:ascii="Times New Roman" w:hAnsi="Times New Roman" w:cs="Times New Roman"/>
          <w:vertAlign w:val="superscript"/>
        </w:rPr>
        <w:t>st</w:t>
      </w:r>
      <w:r w:rsidRPr="00CB03F8">
        <w:rPr>
          <w:rFonts w:ascii="Times New Roman" w:hAnsi="Times New Roman" w:cs="Times New Roman"/>
        </w:rPr>
        <w:t xml:space="preserve"> November, 2018.</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The Respondents have not challenged the said facts as deposed by the Applicant in his affidavit at all. It is our submission that the failure of the Applicant’s previous lawyers to attend court on 1</w:t>
      </w:r>
      <w:r w:rsidRPr="00CB03F8">
        <w:rPr>
          <w:rFonts w:ascii="Times New Roman" w:hAnsi="Times New Roman" w:cs="Times New Roman"/>
          <w:vertAlign w:val="superscript"/>
        </w:rPr>
        <w:t>st</w:t>
      </w:r>
      <w:r w:rsidRPr="00CB03F8">
        <w:rPr>
          <w:rFonts w:ascii="Times New Roman" w:hAnsi="Times New Roman" w:cs="Times New Roman"/>
        </w:rPr>
        <w:t xml:space="preserve"> November, 2018 or to inform him about the said hearing date when the Application came up for hearing, should not be visited on the innocent Applicant. The Applicant has always attended court whenever his case came up for hearing as </w:t>
      </w:r>
      <w:r w:rsidR="00A85976" w:rsidRPr="00CB03F8">
        <w:rPr>
          <w:rFonts w:ascii="Times New Roman" w:hAnsi="Times New Roman" w:cs="Times New Roman"/>
        </w:rPr>
        <w:t>set out in his affidavit</w:t>
      </w:r>
      <w:r w:rsidRPr="00CB03F8">
        <w:rPr>
          <w:rFonts w:ascii="Times New Roman" w:hAnsi="Times New Roman" w:cs="Times New Roman"/>
        </w:rPr>
        <w:t>.</w:t>
      </w:r>
    </w:p>
    <w:p w:rsidR="00D935D2" w:rsidRPr="00CB03F8" w:rsidRDefault="00A85976" w:rsidP="00D935D2">
      <w:pPr>
        <w:pStyle w:val="BodyA"/>
        <w:spacing w:before="150" w:after="150"/>
        <w:ind w:left="-360"/>
        <w:jc w:val="both"/>
        <w:rPr>
          <w:rFonts w:ascii="Times New Roman" w:eastAsia="Optima" w:hAnsi="Times New Roman" w:cs="Times New Roman"/>
        </w:rPr>
      </w:pPr>
      <w:r w:rsidRPr="00CB03F8">
        <w:rPr>
          <w:rFonts w:ascii="Times New Roman" w:hAnsi="Times New Roman" w:cs="Times New Roman"/>
        </w:rPr>
        <w:t>It was the submission of the applicant’s counsel that</w:t>
      </w:r>
      <w:r w:rsidR="00D935D2" w:rsidRPr="00CB03F8">
        <w:rPr>
          <w:rFonts w:ascii="Times New Roman" w:hAnsi="Times New Roman" w:cs="Times New Roman"/>
        </w:rPr>
        <w:t xml:space="preserve"> the Applicant has offered a candid and frank explanation as to why he did not attend court and that it is owing to a failure on the part of his previous advocates to inform him about the hearing date, he lost the opportunity to do so.  The Applicant only learnt of the said dismissal after a few days after 1</w:t>
      </w:r>
      <w:r w:rsidR="00D935D2" w:rsidRPr="00CB03F8">
        <w:rPr>
          <w:rFonts w:ascii="Times New Roman" w:hAnsi="Times New Roman" w:cs="Times New Roman"/>
          <w:vertAlign w:val="superscript"/>
        </w:rPr>
        <w:t>st</w:t>
      </w:r>
      <w:r w:rsidR="00D935D2" w:rsidRPr="00CB03F8">
        <w:rPr>
          <w:rFonts w:ascii="Times New Roman" w:hAnsi="Times New Roman" w:cs="Times New Roman"/>
        </w:rPr>
        <w:t xml:space="preserve"> November 2018 through his previous lawyers.</w:t>
      </w:r>
    </w:p>
    <w:p w:rsidR="00D935D2" w:rsidRPr="00CB03F8" w:rsidRDefault="00A85976" w:rsidP="00D935D2">
      <w:pPr>
        <w:pStyle w:val="BodyA"/>
        <w:ind w:left="-360"/>
        <w:jc w:val="both"/>
        <w:rPr>
          <w:rFonts w:ascii="Times New Roman" w:eastAsia="Optima" w:hAnsi="Times New Roman" w:cs="Times New Roman"/>
        </w:rPr>
      </w:pPr>
      <w:r w:rsidRPr="00CB03F8">
        <w:rPr>
          <w:rFonts w:ascii="Times New Roman" w:hAnsi="Times New Roman" w:cs="Times New Roman"/>
        </w:rPr>
        <w:t>The applicant’s new counsel further contended</w:t>
      </w:r>
      <w:r w:rsidR="00D935D2" w:rsidRPr="00CB03F8">
        <w:rPr>
          <w:rFonts w:ascii="Times New Roman" w:hAnsi="Times New Roman" w:cs="Times New Roman"/>
        </w:rPr>
        <w:t xml:space="preserve"> that the Applicant’s former Advocates were served with the hearing notice but chose not to attend court. It was as a result of the Applicant’s former advocates’ conduct that the Applicant lost an opportunity to prosecute the Application for review and setting aside the consent order. </w:t>
      </w:r>
      <w:r w:rsidRPr="00CB03F8">
        <w:rPr>
          <w:rFonts w:ascii="Times New Roman" w:hAnsi="Times New Roman" w:cs="Times New Roman"/>
        </w:rPr>
        <w:t>According to counsel this</w:t>
      </w:r>
      <w:r w:rsidR="00D935D2" w:rsidRPr="00CB03F8">
        <w:rPr>
          <w:rFonts w:ascii="Times New Roman" w:hAnsi="Times New Roman" w:cs="Times New Roman"/>
        </w:rPr>
        <w:t>, has been held to amount to sufficient cause.</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A85976" w:rsidP="00D935D2">
      <w:pPr>
        <w:pStyle w:val="BodyA"/>
        <w:ind w:left="-360"/>
        <w:jc w:val="both"/>
        <w:rPr>
          <w:rFonts w:ascii="Times New Roman" w:eastAsia="Optima" w:hAnsi="Times New Roman" w:cs="Times New Roman"/>
        </w:rPr>
      </w:pPr>
      <w:r w:rsidRPr="00CB03F8">
        <w:rPr>
          <w:rFonts w:ascii="Times New Roman" w:hAnsi="Times New Roman" w:cs="Times New Roman"/>
        </w:rPr>
        <w:t>Applicant’s counsel cited the</w:t>
      </w:r>
      <w:r w:rsidR="00D935D2" w:rsidRPr="00CB03F8">
        <w:rPr>
          <w:rFonts w:ascii="Times New Roman" w:hAnsi="Times New Roman" w:cs="Times New Roman"/>
        </w:rPr>
        <w:t xml:space="preserve"> case of </w:t>
      </w:r>
      <w:proofErr w:type="spellStart"/>
      <w:r w:rsidR="00D935D2" w:rsidRPr="00CB03F8">
        <w:rPr>
          <w:rFonts w:ascii="Times New Roman" w:hAnsi="Times New Roman" w:cs="Times New Roman"/>
          <w:b/>
          <w:bCs/>
          <w:u w:val="single"/>
        </w:rPr>
        <w:t>Banco</w:t>
      </w:r>
      <w:proofErr w:type="spellEnd"/>
      <w:r w:rsidR="00D935D2" w:rsidRPr="00CB03F8">
        <w:rPr>
          <w:rFonts w:ascii="Times New Roman" w:hAnsi="Times New Roman" w:cs="Times New Roman"/>
          <w:b/>
          <w:bCs/>
          <w:u w:val="single"/>
        </w:rPr>
        <w:t xml:space="preserve"> </w:t>
      </w:r>
      <w:proofErr w:type="spellStart"/>
      <w:r w:rsidR="00D935D2" w:rsidRPr="00CB03F8">
        <w:rPr>
          <w:rFonts w:ascii="Times New Roman" w:hAnsi="Times New Roman" w:cs="Times New Roman"/>
          <w:b/>
          <w:bCs/>
          <w:u w:val="single"/>
        </w:rPr>
        <w:t>Arabe</w:t>
      </w:r>
      <w:proofErr w:type="spellEnd"/>
      <w:r w:rsidR="00D935D2" w:rsidRPr="00CB03F8">
        <w:rPr>
          <w:rFonts w:ascii="Times New Roman" w:hAnsi="Times New Roman" w:cs="Times New Roman"/>
          <w:b/>
          <w:bCs/>
          <w:u w:val="single"/>
        </w:rPr>
        <w:t xml:space="preserve"> </w:t>
      </w:r>
      <w:proofErr w:type="spellStart"/>
      <w:r w:rsidR="00D935D2" w:rsidRPr="00CB03F8">
        <w:rPr>
          <w:rFonts w:ascii="Times New Roman" w:hAnsi="Times New Roman" w:cs="Times New Roman"/>
          <w:b/>
          <w:bCs/>
          <w:u w:val="single"/>
        </w:rPr>
        <w:t>Espanol</w:t>
      </w:r>
      <w:proofErr w:type="spellEnd"/>
      <w:r w:rsidR="00D935D2" w:rsidRPr="00CB03F8">
        <w:rPr>
          <w:rFonts w:ascii="Times New Roman" w:hAnsi="Times New Roman" w:cs="Times New Roman"/>
          <w:b/>
          <w:bCs/>
          <w:u w:val="single"/>
        </w:rPr>
        <w:t xml:space="preserve"> Vs. Bank of Uganda</w:t>
      </w:r>
      <w:r w:rsidR="00D935D2" w:rsidRPr="00CB03F8">
        <w:rPr>
          <w:rFonts w:ascii="Times New Roman" w:hAnsi="Times New Roman" w:cs="Times New Roman"/>
        </w:rPr>
        <w:t xml:space="preserve">, </w:t>
      </w:r>
      <w:r w:rsidR="00D935D2" w:rsidRPr="00CB03F8">
        <w:rPr>
          <w:rFonts w:ascii="Times New Roman" w:hAnsi="Times New Roman" w:cs="Times New Roman"/>
          <w:b/>
          <w:bCs/>
        </w:rPr>
        <w:t>SCCA No. 8 of 1998</w:t>
      </w:r>
      <w:r w:rsidR="00D935D2" w:rsidRPr="00CB03F8">
        <w:rPr>
          <w:rFonts w:ascii="Times New Roman" w:hAnsi="Times New Roman" w:cs="Times New Roman"/>
        </w:rPr>
        <w:t xml:space="preserve"> </w:t>
      </w:r>
      <w:r w:rsidRPr="00CB03F8">
        <w:rPr>
          <w:rFonts w:ascii="Times New Roman" w:hAnsi="Times New Roman" w:cs="Times New Roman"/>
        </w:rPr>
        <w:t xml:space="preserve">where </w:t>
      </w:r>
      <w:r w:rsidR="00D935D2" w:rsidRPr="00CB03F8">
        <w:rPr>
          <w:rFonts w:ascii="Times New Roman" w:hAnsi="Times New Roman" w:cs="Times New Roman"/>
        </w:rPr>
        <w:t>it was held that;</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D935D2" w:rsidP="00D935D2">
      <w:pPr>
        <w:pStyle w:val="BodyA"/>
        <w:ind w:left="-360"/>
        <w:jc w:val="both"/>
        <w:rPr>
          <w:rFonts w:ascii="Times New Roman" w:eastAsia="Optima" w:hAnsi="Times New Roman" w:cs="Times New Roman"/>
          <w:b/>
          <w:bCs/>
        </w:rPr>
      </w:pPr>
      <w:r w:rsidRPr="00CB03F8">
        <w:rPr>
          <w:rFonts w:ascii="Times New Roman" w:hAnsi="Times New Roman" w:cs="Times New Roman"/>
          <w:b/>
          <w:bCs/>
        </w:rPr>
        <w:t xml:space="preserve">“A mistake, negligence, oversight or error on the part of counsel should not be visited on the litigant. Such mistake, or as the case may be, constitutes just cause entitling the trial judge to use his </w:t>
      </w:r>
      <w:proofErr w:type="gramStart"/>
      <w:r w:rsidRPr="00CB03F8">
        <w:rPr>
          <w:rFonts w:ascii="Times New Roman" w:hAnsi="Times New Roman" w:cs="Times New Roman"/>
          <w:b/>
          <w:bCs/>
        </w:rPr>
        <w:t>discretion  so</w:t>
      </w:r>
      <w:proofErr w:type="gramEnd"/>
      <w:r w:rsidRPr="00CB03F8">
        <w:rPr>
          <w:rFonts w:ascii="Times New Roman" w:hAnsi="Times New Roman" w:cs="Times New Roman"/>
          <w:b/>
          <w:bCs/>
        </w:rPr>
        <w:t xml:space="preserve"> that the matter is considered on its merits.”</w:t>
      </w:r>
    </w:p>
    <w:p w:rsidR="00D935D2" w:rsidRPr="00CB03F8" w:rsidRDefault="00D935D2" w:rsidP="00D935D2">
      <w:pPr>
        <w:pStyle w:val="BodyA"/>
        <w:ind w:left="-360"/>
        <w:jc w:val="both"/>
        <w:rPr>
          <w:rFonts w:ascii="Times New Roman" w:eastAsia="Optima" w:hAnsi="Times New Roman" w:cs="Times New Roman"/>
        </w:rPr>
      </w:pPr>
    </w:p>
    <w:p w:rsidR="00D935D2" w:rsidRPr="00CB03F8" w:rsidRDefault="00A85976" w:rsidP="00D935D2">
      <w:pPr>
        <w:pStyle w:val="BodyA"/>
        <w:ind w:left="-360"/>
        <w:jc w:val="both"/>
        <w:rPr>
          <w:rFonts w:ascii="Times New Roman" w:eastAsia="Optima" w:hAnsi="Times New Roman" w:cs="Times New Roman"/>
        </w:rPr>
      </w:pPr>
      <w:r w:rsidRPr="00CB03F8">
        <w:rPr>
          <w:rFonts w:ascii="Times New Roman" w:hAnsi="Times New Roman" w:cs="Times New Roman"/>
        </w:rPr>
        <w:t>It was his submission that</w:t>
      </w:r>
      <w:r w:rsidR="00D935D2" w:rsidRPr="00CB03F8">
        <w:rPr>
          <w:rFonts w:ascii="Times New Roman" w:hAnsi="Times New Roman" w:cs="Times New Roman"/>
        </w:rPr>
        <w:t xml:space="preserve"> the foregoing proposition of the law has been variously adopted by courts of law </w:t>
      </w:r>
      <w:r w:rsidR="00D935D2" w:rsidRPr="00CB03F8">
        <w:rPr>
          <w:rFonts w:ascii="Times New Roman" w:hAnsi="Times New Roman" w:cs="Times New Roman"/>
          <w:b/>
          <w:bCs/>
          <w:lang w:val="pt-PT"/>
        </w:rPr>
        <w:t>(CANSTER RAGS (U</w:t>
      </w:r>
      <w:proofErr w:type="gramStart"/>
      <w:r w:rsidR="00D935D2" w:rsidRPr="00CB03F8">
        <w:rPr>
          <w:rFonts w:ascii="Times New Roman" w:hAnsi="Times New Roman" w:cs="Times New Roman"/>
          <w:b/>
          <w:bCs/>
          <w:lang w:val="pt-PT"/>
        </w:rPr>
        <w:t>)LTD</w:t>
      </w:r>
      <w:proofErr w:type="gramEnd"/>
      <w:r w:rsidR="00D935D2" w:rsidRPr="00CB03F8">
        <w:rPr>
          <w:rFonts w:ascii="Times New Roman" w:hAnsi="Times New Roman" w:cs="Times New Roman"/>
          <w:b/>
          <w:bCs/>
          <w:lang w:val="pt-PT"/>
        </w:rPr>
        <w:t>} VS STANBIC BANK (U) LTD} &amp; Anor MISC APPLN NO 401 OF 2014</w:t>
      </w:r>
      <w:r w:rsidR="00D935D2" w:rsidRPr="00CB03F8">
        <w:rPr>
          <w:rFonts w:ascii="Times New Roman" w:hAnsi="Times New Roman" w:cs="Times New Roman"/>
          <w:b/>
          <w:bCs/>
        </w:rPr>
        <w:t xml:space="preserve"> </w:t>
      </w:r>
      <w:r w:rsidR="00D935D2" w:rsidRPr="00CB03F8">
        <w:rPr>
          <w:rFonts w:ascii="Times New Roman" w:hAnsi="Times New Roman" w:cs="Times New Roman"/>
          <w:b/>
          <w:bCs/>
          <w:lang w:val="pt-PT"/>
        </w:rPr>
        <w:t>(ARISING FROM HCCS NO 159 OF 2012).</w:t>
      </w:r>
      <w:r w:rsidR="00D935D2" w:rsidRPr="00CB03F8">
        <w:rPr>
          <w:rFonts w:ascii="Times New Roman" w:hAnsi="Times New Roman" w:cs="Times New Roman"/>
          <w:b/>
          <w:bCs/>
        </w:rPr>
        <w:t xml:space="preserve"> </w:t>
      </w:r>
    </w:p>
    <w:p w:rsidR="00D935D2" w:rsidRPr="00CB03F8" w:rsidRDefault="00D935D2" w:rsidP="00D935D2">
      <w:pPr>
        <w:pStyle w:val="BodyA"/>
        <w:ind w:left="-360"/>
        <w:jc w:val="both"/>
        <w:rPr>
          <w:rFonts w:ascii="Times New Roman" w:eastAsia="Optima" w:hAnsi="Times New Roman" w:cs="Times New Roman"/>
        </w:rPr>
      </w:pPr>
    </w:p>
    <w:p w:rsidR="00A85976" w:rsidRPr="00CB03F8" w:rsidRDefault="00A85976" w:rsidP="00D935D2">
      <w:pPr>
        <w:pStyle w:val="BodyA"/>
        <w:ind w:left="-360"/>
        <w:jc w:val="both"/>
        <w:rPr>
          <w:rFonts w:ascii="Times New Roman" w:hAnsi="Times New Roman" w:cs="Times New Roman"/>
        </w:rPr>
      </w:pPr>
      <w:r w:rsidRPr="00CB03F8">
        <w:rPr>
          <w:rFonts w:ascii="Times New Roman" w:hAnsi="Times New Roman" w:cs="Times New Roman"/>
        </w:rPr>
        <w:t>He further</w:t>
      </w:r>
      <w:r w:rsidR="00D935D2" w:rsidRPr="00CB03F8">
        <w:rPr>
          <w:rFonts w:ascii="Times New Roman" w:hAnsi="Times New Roman" w:cs="Times New Roman"/>
        </w:rPr>
        <w:t xml:space="preserve"> submit</w:t>
      </w:r>
      <w:r w:rsidRPr="00CB03F8">
        <w:rPr>
          <w:rFonts w:ascii="Times New Roman" w:hAnsi="Times New Roman" w:cs="Times New Roman"/>
        </w:rPr>
        <w:t>ted</w:t>
      </w:r>
      <w:r w:rsidR="00D935D2" w:rsidRPr="00CB03F8">
        <w:rPr>
          <w:rFonts w:ascii="Times New Roman" w:hAnsi="Times New Roman" w:cs="Times New Roman"/>
        </w:rPr>
        <w:t xml:space="preserve"> that it was as a result of this inexcusable conduct by the Applicant’s former counsel that drove the applicant away from the seat of justice as he was condemned unheard. The right to a hearing has always been a well-protected right in our constitution and is also the cornerstone of the rule of law.</w:t>
      </w:r>
    </w:p>
    <w:p w:rsidR="00D935D2" w:rsidRPr="00CB03F8" w:rsidRDefault="00D935D2" w:rsidP="00D935D2">
      <w:pPr>
        <w:pStyle w:val="BodyA"/>
        <w:ind w:left="-360"/>
        <w:jc w:val="both"/>
        <w:rPr>
          <w:rFonts w:ascii="Times New Roman" w:eastAsia="Optima" w:hAnsi="Times New Roman" w:cs="Times New Roman"/>
        </w:rPr>
      </w:pPr>
      <w:r w:rsidRPr="00CB03F8">
        <w:rPr>
          <w:rFonts w:ascii="Times New Roman" w:hAnsi="Times New Roman" w:cs="Times New Roman"/>
        </w:rPr>
        <w:t xml:space="preserve"> </w:t>
      </w:r>
    </w:p>
    <w:p w:rsidR="00A85976" w:rsidRPr="00CB03F8" w:rsidRDefault="00A85976" w:rsidP="00A85976">
      <w:pPr>
        <w:pStyle w:val="BodyA"/>
        <w:ind w:left="-360"/>
        <w:jc w:val="both"/>
        <w:rPr>
          <w:rFonts w:ascii="Times New Roman" w:hAnsi="Times New Roman" w:cs="Times New Roman"/>
        </w:rPr>
      </w:pPr>
      <w:r w:rsidRPr="00CB03F8">
        <w:rPr>
          <w:rFonts w:ascii="Times New Roman" w:hAnsi="Times New Roman" w:cs="Times New Roman"/>
        </w:rPr>
        <w:lastRenderedPageBreak/>
        <w:t>He prayed</w:t>
      </w:r>
      <w:r w:rsidR="00D935D2" w:rsidRPr="00CB03F8">
        <w:rPr>
          <w:rFonts w:ascii="Times New Roman" w:hAnsi="Times New Roman" w:cs="Times New Roman"/>
        </w:rPr>
        <w:t xml:space="preserve"> that court be pleased to find that the Applicant had sufficient cause not to attend court on the day Misc. Application No. 039 of 2018 was called for hearing and further pray that the same be reinstated and set down for hearing on its merits as the ends of justice require.</w:t>
      </w:r>
    </w:p>
    <w:p w:rsidR="00A85976" w:rsidRPr="00CB03F8" w:rsidRDefault="00A85976" w:rsidP="00A85976">
      <w:pPr>
        <w:pStyle w:val="BodyA"/>
        <w:ind w:left="-360"/>
        <w:jc w:val="both"/>
        <w:rPr>
          <w:rFonts w:ascii="Times New Roman" w:hAnsi="Times New Roman" w:cs="Times New Roman"/>
        </w:rPr>
      </w:pPr>
    </w:p>
    <w:p w:rsidR="0004675F" w:rsidRPr="00CB03F8" w:rsidRDefault="00370FB0" w:rsidP="00A85976">
      <w:pPr>
        <w:pStyle w:val="BodyA"/>
        <w:ind w:left="-360"/>
        <w:jc w:val="both"/>
        <w:rPr>
          <w:rFonts w:ascii="Times New Roman" w:hAnsi="Times New Roman" w:cs="Times New Roman"/>
          <w:bCs/>
        </w:rPr>
      </w:pPr>
      <w:r w:rsidRPr="00CB03F8">
        <w:rPr>
          <w:rFonts w:ascii="Times New Roman" w:hAnsi="Times New Roman" w:cs="Times New Roman"/>
          <w:bCs/>
        </w:rPr>
        <w:t>On the other hand, the respondent</w:t>
      </w:r>
      <w:r w:rsidR="00A85976" w:rsidRPr="00CB03F8">
        <w:rPr>
          <w:rFonts w:ascii="Times New Roman" w:hAnsi="Times New Roman" w:cs="Times New Roman"/>
          <w:bCs/>
        </w:rPr>
        <w:t>s’ counsel submitted that the applicant has not demonstrated to court that there was any justifiable reason why the dismissal should be set aside.</w:t>
      </w:r>
    </w:p>
    <w:p w:rsidR="00A85976" w:rsidRPr="00CB03F8" w:rsidRDefault="00370FB0" w:rsidP="00A85976">
      <w:pPr>
        <w:pStyle w:val="BodyA"/>
        <w:ind w:left="-360"/>
        <w:jc w:val="both"/>
        <w:rPr>
          <w:rFonts w:ascii="Times New Roman" w:hAnsi="Times New Roman" w:cs="Times New Roman"/>
          <w:bCs/>
        </w:rPr>
      </w:pPr>
      <w:r w:rsidRPr="00CB03F8">
        <w:rPr>
          <w:rFonts w:ascii="Times New Roman" w:hAnsi="Times New Roman" w:cs="Times New Roman"/>
          <w:bCs/>
        </w:rPr>
        <w:t xml:space="preserve"> </w:t>
      </w:r>
    </w:p>
    <w:p w:rsidR="0004675F" w:rsidRPr="00CB03F8" w:rsidRDefault="00A85976" w:rsidP="00A85976">
      <w:pPr>
        <w:pStyle w:val="BodyA"/>
        <w:ind w:left="-360"/>
        <w:jc w:val="both"/>
        <w:rPr>
          <w:rFonts w:ascii="Times New Roman" w:hAnsi="Times New Roman" w:cs="Times New Roman"/>
          <w:bCs/>
        </w:rPr>
      </w:pPr>
      <w:r w:rsidRPr="00CB03F8">
        <w:rPr>
          <w:rFonts w:ascii="Times New Roman" w:hAnsi="Times New Roman" w:cs="Times New Roman"/>
          <w:bCs/>
        </w:rPr>
        <w:t>According to the respondent’s counsel, the phrase ‘sufficient cause’</w:t>
      </w:r>
      <w:r w:rsidR="0004675F" w:rsidRPr="00CB03F8">
        <w:rPr>
          <w:rFonts w:ascii="Times New Roman" w:hAnsi="Times New Roman" w:cs="Times New Roman"/>
          <w:bCs/>
        </w:rPr>
        <w:t xml:space="preserve"> is normally interchangeable with the phrase ‘good cause’ and has been held to relate to inability or failure of the a party to take a particular step at a particular time.</w:t>
      </w:r>
    </w:p>
    <w:p w:rsidR="0004675F" w:rsidRPr="00CB03F8" w:rsidRDefault="0004675F" w:rsidP="00A85976">
      <w:pPr>
        <w:pStyle w:val="BodyA"/>
        <w:ind w:left="-360"/>
        <w:jc w:val="both"/>
        <w:rPr>
          <w:rFonts w:ascii="Times New Roman" w:hAnsi="Times New Roman" w:cs="Times New Roman"/>
          <w:bCs/>
        </w:rPr>
      </w:pPr>
    </w:p>
    <w:p w:rsidR="0004675F" w:rsidRPr="00CB03F8" w:rsidRDefault="0004675F" w:rsidP="00A85976">
      <w:pPr>
        <w:pStyle w:val="BodyA"/>
        <w:ind w:left="-360"/>
        <w:jc w:val="both"/>
        <w:rPr>
          <w:rFonts w:ascii="Times New Roman" w:hAnsi="Times New Roman" w:cs="Times New Roman"/>
          <w:bCs/>
        </w:rPr>
      </w:pPr>
      <w:r w:rsidRPr="00CB03F8">
        <w:rPr>
          <w:rFonts w:ascii="Times New Roman" w:hAnsi="Times New Roman" w:cs="Times New Roman"/>
          <w:bCs/>
        </w:rPr>
        <w:t>It was his contention that the said advocate has not attached photocopies of his medical forms and that the said lawyer did not depose any affidavit to that effect.</w:t>
      </w:r>
      <w:r w:rsidR="006E3090" w:rsidRPr="00CB03F8">
        <w:rPr>
          <w:rFonts w:ascii="Times New Roman" w:hAnsi="Times New Roman" w:cs="Times New Roman"/>
          <w:bCs/>
        </w:rPr>
        <w:t xml:space="preserve"> According to him whatever the applicant stated was hearsay.</w:t>
      </w:r>
    </w:p>
    <w:p w:rsidR="00370FB0" w:rsidRPr="00CB03F8" w:rsidRDefault="00370FB0" w:rsidP="00370FB0">
      <w:pPr>
        <w:spacing w:before="240" w:line="276" w:lineRule="auto"/>
        <w:jc w:val="both"/>
        <w:rPr>
          <w:bCs/>
        </w:rPr>
      </w:pPr>
      <w:r w:rsidRPr="00CB03F8">
        <w:rPr>
          <w:bCs/>
        </w:rPr>
        <w:t xml:space="preserve">This court has powers under </w:t>
      </w:r>
      <w:r w:rsidRPr="00CB03F8">
        <w:rPr>
          <w:b/>
          <w:bCs/>
        </w:rPr>
        <w:t>Section 98 of the Civil Procedure Act Cap 71</w:t>
      </w:r>
      <w:r w:rsidRPr="00CB03F8">
        <w:rPr>
          <w:bCs/>
        </w:rPr>
        <w:t xml:space="preserve"> to make such orders as may be necessary for the ends of justice as well as under </w:t>
      </w:r>
      <w:r w:rsidRPr="00CB03F8">
        <w:rPr>
          <w:b/>
          <w:bCs/>
        </w:rPr>
        <w:t xml:space="preserve">Order 9 Rule </w:t>
      </w:r>
      <w:r w:rsidR="006E3090" w:rsidRPr="00CB03F8">
        <w:rPr>
          <w:b/>
          <w:bCs/>
        </w:rPr>
        <w:t>23</w:t>
      </w:r>
      <w:r w:rsidRPr="00CB03F8">
        <w:rPr>
          <w:b/>
          <w:bCs/>
        </w:rPr>
        <w:t xml:space="preserve"> of the C</w:t>
      </w:r>
      <w:r w:rsidR="006E3090" w:rsidRPr="00CB03F8">
        <w:rPr>
          <w:b/>
          <w:bCs/>
        </w:rPr>
        <w:t xml:space="preserve">ivil Procedure Rules </w:t>
      </w:r>
      <w:r w:rsidRPr="00CB03F8">
        <w:rPr>
          <w:bCs/>
        </w:rPr>
        <w:t xml:space="preserve">to set aside </w:t>
      </w:r>
      <w:r w:rsidR="006E3090" w:rsidRPr="00CB03F8">
        <w:rPr>
          <w:bCs/>
        </w:rPr>
        <w:t>dismissal on sufficient cause being shown.</w:t>
      </w:r>
      <w:r w:rsidRPr="00CB03F8">
        <w:rPr>
          <w:bCs/>
        </w:rPr>
        <w:t xml:space="preserve"> </w:t>
      </w:r>
    </w:p>
    <w:p w:rsidR="00370FB0" w:rsidRPr="00CB03F8" w:rsidRDefault="006E3090" w:rsidP="00370FB0">
      <w:pPr>
        <w:spacing w:before="240" w:line="276" w:lineRule="auto"/>
        <w:jc w:val="both"/>
        <w:rPr>
          <w:bCs/>
        </w:rPr>
      </w:pPr>
      <w:r w:rsidRPr="00CB03F8">
        <w:rPr>
          <w:bCs/>
        </w:rPr>
        <w:t>In the case</w:t>
      </w:r>
      <w:r w:rsidR="00370FB0" w:rsidRPr="00CB03F8">
        <w:rPr>
          <w:bCs/>
        </w:rPr>
        <w:t xml:space="preserve">s of </w:t>
      </w:r>
      <w:r w:rsidR="00370FB0" w:rsidRPr="00CB03F8">
        <w:rPr>
          <w:b/>
          <w:bCs/>
          <w:u w:val="single"/>
        </w:rPr>
        <w:t xml:space="preserve">Florence </w:t>
      </w:r>
      <w:proofErr w:type="spellStart"/>
      <w:r w:rsidR="00370FB0" w:rsidRPr="00CB03F8">
        <w:rPr>
          <w:b/>
          <w:bCs/>
          <w:u w:val="single"/>
        </w:rPr>
        <w:t>Nabatanzi</w:t>
      </w:r>
      <w:proofErr w:type="spellEnd"/>
      <w:r w:rsidR="00370FB0" w:rsidRPr="00CB03F8">
        <w:rPr>
          <w:b/>
          <w:bCs/>
          <w:u w:val="single"/>
        </w:rPr>
        <w:t xml:space="preserve"> vs. </w:t>
      </w:r>
      <w:proofErr w:type="spellStart"/>
      <w:r w:rsidR="00370FB0" w:rsidRPr="00CB03F8">
        <w:rPr>
          <w:b/>
          <w:bCs/>
          <w:u w:val="single"/>
        </w:rPr>
        <w:t>Naome</w:t>
      </w:r>
      <w:proofErr w:type="spellEnd"/>
      <w:r w:rsidR="00370FB0" w:rsidRPr="00CB03F8">
        <w:rPr>
          <w:b/>
          <w:bCs/>
          <w:u w:val="single"/>
        </w:rPr>
        <w:t xml:space="preserve"> </w:t>
      </w:r>
      <w:proofErr w:type="spellStart"/>
      <w:r w:rsidR="00370FB0" w:rsidRPr="00CB03F8">
        <w:rPr>
          <w:b/>
          <w:bCs/>
          <w:u w:val="single"/>
        </w:rPr>
        <w:t>Binsobodde</w:t>
      </w:r>
      <w:proofErr w:type="spellEnd"/>
      <w:r w:rsidR="00370FB0" w:rsidRPr="00CB03F8">
        <w:rPr>
          <w:b/>
          <w:bCs/>
          <w:u w:val="single"/>
        </w:rPr>
        <w:t xml:space="preserve"> SC Civil Application No. 6 of 1987</w:t>
      </w:r>
      <w:r w:rsidR="00370FB0" w:rsidRPr="00CB03F8">
        <w:rPr>
          <w:bCs/>
        </w:rPr>
        <w:t xml:space="preserve"> and </w:t>
      </w:r>
      <w:proofErr w:type="spellStart"/>
      <w:r w:rsidR="00370FB0" w:rsidRPr="00CB03F8">
        <w:rPr>
          <w:b/>
          <w:bCs/>
          <w:u w:val="single"/>
        </w:rPr>
        <w:t>Sipiriya</w:t>
      </w:r>
      <w:proofErr w:type="spellEnd"/>
      <w:r w:rsidR="00370FB0" w:rsidRPr="00CB03F8">
        <w:rPr>
          <w:b/>
          <w:bCs/>
          <w:u w:val="single"/>
        </w:rPr>
        <w:t xml:space="preserve"> </w:t>
      </w:r>
      <w:proofErr w:type="spellStart"/>
      <w:r w:rsidR="00370FB0" w:rsidRPr="00CB03F8">
        <w:rPr>
          <w:b/>
          <w:bCs/>
          <w:u w:val="single"/>
        </w:rPr>
        <w:t>Kyaturesire</w:t>
      </w:r>
      <w:proofErr w:type="spellEnd"/>
      <w:r w:rsidR="00370FB0" w:rsidRPr="00CB03F8">
        <w:rPr>
          <w:b/>
          <w:bCs/>
          <w:u w:val="single"/>
        </w:rPr>
        <w:t xml:space="preserve"> vs. Justine </w:t>
      </w:r>
      <w:proofErr w:type="spellStart"/>
      <w:r w:rsidR="00370FB0" w:rsidRPr="00CB03F8">
        <w:rPr>
          <w:b/>
          <w:bCs/>
          <w:u w:val="single"/>
        </w:rPr>
        <w:t>Bakachulike</w:t>
      </w:r>
      <w:proofErr w:type="spellEnd"/>
      <w:r w:rsidR="00370FB0" w:rsidRPr="00CB03F8">
        <w:rPr>
          <w:b/>
          <w:bCs/>
          <w:u w:val="single"/>
        </w:rPr>
        <w:t xml:space="preserve"> </w:t>
      </w:r>
      <w:proofErr w:type="spellStart"/>
      <w:r w:rsidR="00370FB0" w:rsidRPr="00CB03F8">
        <w:rPr>
          <w:b/>
          <w:bCs/>
          <w:u w:val="single"/>
        </w:rPr>
        <w:t>Bagambe</w:t>
      </w:r>
      <w:proofErr w:type="spellEnd"/>
      <w:r w:rsidR="00370FB0" w:rsidRPr="00CB03F8">
        <w:rPr>
          <w:b/>
          <w:bCs/>
          <w:u w:val="single"/>
        </w:rPr>
        <w:t xml:space="preserve"> CA No. 20/</w:t>
      </w:r>
      <w:proofErr w:type="gramStart"/>
      <w:r w:rsidR="00370FB0" w:rsidRPr="00CB03F8">
        <w:rPr>
          <w:b/>
          <w:bCs/>
          <w:u w:val="single"/>
        </w:rPr>
        <w:t>1995</w:t>
      </w:r>
      <w:r w:rsidR="00370FB0" w:rsidRPr="00CB03F8">
        <w:rPr>
          <w:bCs/>
        </w:rPr>
        <w:t xml:space="preserve"> </w:t>
      </w:r>
      <w:r w:rsidRPr="00CB03F8">
        <w:rPr>
          <w:bCs/>
        </w:rPr>
        <w:t xml:space="preserve"> both</w:t>
      </w:r>
      <w:proofErr w:type="gramEnd"/>
      <w:r w:rsidRPr="00CB03F8">
        <w:rPr>
          <w:bCs/>
        </w:rPr>
        <w:t xml:space="preserve"> courts noted </w:t>
      </w:r>
      <w:r w:rsidR="00370FB0" w:rsidRPr="00CB03F8">
        <w:rPr>
          <w:bCs/>
        </w:rPr>
        <w:t>that;</w:t>
      </w:r>
    </w:p>
    <w:p w:rsidR="00370FB0" w:rsidRPr="00CB03F8" w:rsidRDefault="00370FB0" w:rsidP="00370FB0">
      <w:pPr>
        <w:numPr>
          <w:ilvl w:val="0"/>
          <w:numId w:val="1"/>
        </w:numPr>
        <w:spacing w:before="240" w:line="276" w:lineRule="auto"/>
        <w:jc w:val="both"/>
        <w:rPr>
          <w:b/>
          <w:bCs/>
        </w:rPr>
      </w:pPr>
      <w:r w:rsidRPr="00CB03F8">
        <w:rPr>
          <w:b/>
          <w:bCs/>
        </w:rPr>
        <w:t xml:space="preserve">First and foremost the application must show sufficient reason which relates to the inability or failure to take some particular step within the prescribed time.  The general requirement not withstanding each case must be decided on facts.  </w:t>
      </w:r>
      <w:r w:rsidRPr="00CB03F8">
        <w:rPr>
          <w:b/>
          <w:bCs/>
          <w:u w:val="single"/>
        </w:rPr>
        <w:t xml:space="preserve">See </w:t>
      </w:r>
      <w:proofErr w:type="spellStart"/>
      <w:r w:rsidRPr="00CB03F8">
        <w:rPr>
          <w:b/>
          <w:bCs/>
          <w:u w:val="single"/>
        </w:rPr>
        <w:t>Mugo</w:t>
      </w:r>
      <w:proofErr w:type="spellEnd"/>
      <w:r w:rsidRPr="00CB03F8">
        <w:rPr>
          <w:b/>
          <w:bCs/>
          <w:u w:val="single"/>
        </w:rPr>
        <w:t xml:space="preserve"> vs. </w:t>
      </w:r>
      <w:proofErr w:type="spellStart"/>
      <w:r w:rsidRPr="00CB03F8">
        <w:rPr>
          <w:b/>
          <w:bCs/>
          <w:u w:val="single"/>
        </w:rPr>
        <w:t>Wanjiru</w:t>
      </w:r>
      <w:proofErr w:type="spellEnd"/>
      <w:r w:rsidRPr="00CB03F8">
        <w:rPr>
          <w:b/>
          <w:bCs/>
          <w:u w:val="single"/>
        </w:rPr>
        <w:t xml:space="preserve"> (Supra)</w:t>
      </w:r>
      <w:r w:rsidRPr="00CB03F8">
        <w:rPr>
          <w:b/>
          <w:bCs/>
        </w:rPr>
        <w:t>.</w:t>
      </w:r>
    </w:p>
    <w:p w:rsidR="00370FB0" w:rsidRPr="00CB03F8" w:rsidRDefault="00370FB0" w:rsidP="00370FB0">
      <w:pPr>
        <w:numPr>
          <w:ilvl w:val="0"/>
          <w:numId w:val="1"/>
        </w:numPr>
        <w:spacing w:before="240" w:line="276" w:lineRule="auto"/>
        <w:jc w:val="both"/>
        <w:rPr>
          <w:b/>
          <w:bCs/>
        </w:rPr>
      </w:pPr>
      <w:r w:rsidRPr="00CB03F8">
        <w:rPr>
          <w:b/>
          <w:bCs/>
        </w:rPr>
        <w:t xml:space="preserve">The administration of justice normally requires that substance of all disputes should be investigated and decided on their merits and that errors and lapses should not necessarily debar a litigant from pursuit of his rights – see </w:t>
      </w:r>
      <w:proofErr w:type="spellStart"/>
      <w:r w:rsidRPr="00CB03F8">
        <w:rPr>
          <w:b/>
          <w:bCs/>
          <w:u w:val="single"/>
        </w:rPr>
        <w:t>Essaji</w:t>
      </w:r>
      <w:proofErr w:type="spellEnd"/>
      <w:r w:rsidRPr="00CB03F8">
        <w:rPr>
          <w:b/>
          <w:bCs/>
          <w:u w:val="single"/>
        </w:rPr>
        <w:t xml:space="preserve"> vs. </w:t>
      </w:r>
      <w:proofErr w:type="spellStart"/>
      <w:r w:rsidRPr="00CB03F8">
        <w:rPr>
          <w:b/>
          <w:bCs/>
          <w:u w:val="single"/>
        </w:rPr>
        <w:t>Solanki</w:t>
      </w:r>
      <w:proofErr w:type="spellEnd"/>
      <w:r w:rsidRPr="00CB03F8">
        <w:rPr>
          <w:b/>
          <w:bCs/>
          <w:u w:val="single"/>
        </w:rPr>
        <w:t xml:space="preserve"> (supra)</w:t>
      </w:r>
      <w:r w:rsidRPr="00CB03F8">
        <w:rPr>
          <w:b/>
          <w:bCs/>
        </w:rPr>
        <w:t>.</w:t>
      </w:r>
    </w:p>
    <w:p w:rsidR="00370FB0" w:rsidRPr="00CB03F8" w:rsidRDefault="00370FB0" w:rsidP="00370FB0">
      <w:pPr>
        <w:numPr>
          <w:ilvl w:val="0"/>
          <w:numId w:val="1"/>
        </w:numPr>
        <w:spacing w:before="240" w:line="276" w:lineRule="auto"/>
        <w:jc w:val="both"/>
        <w:rPr>
          <w:b/>
          <w:bCs/>
        </w:rPr>
      </w:pPr>
      <w:r w:rsidRPr="00CB03F8">
        <w:rPr>
          <w:b/>
          <w:bCs/>
        </w:rPr>
        <w:t xml:space="preserve">Whilst mistakes of counsel sometimes may amount to an error of judgment but not inordinate delay negligence to observe or ascertain plain requirements of the law.  </w:t>
      </w:r>
      <w:r w:rsidRPr="00CB03F8">
        <w:rPr>
          <w:b/>
          <w:bCs/>
          <w:u w:val="single"/>
        </w:rPr>
        <w:t>Attorney General vs. Oriental Construction Limited</w:t>
      </w:r>
      <w:r w:rsidRPr="00CB03F8">
        <w:rPr>
          <w:b/>
          <w:bCs/>
        </w:rPr>
        <w:t xml:space="preserve"> (supra).</w:t>
      </w:r>
    </w:p>
    <w:p w:rsidR="00370FB0" w:rsidRPr="00CB03F8" w:rsidRDefault="00370FB0" w:rsidP="00370FB0">
      <w:pPr>
        <w:numPr>
          <w:ilvl w:val="0"/>
          <w:numId w:val="1"/>
        </w:numPr>
        <w:spacing w:before="240" w:line="276" w:lineRule="auto"/>
        <w:jc w:val="both"/>
        <w:rPr>
          <w:b/>
          <w:bCs/>
        </w:rPr>
      </w:pPr>
      <w:r w:rsidRPr="00CB03F8">
        <w:rPr>
          <w:b/>
          <w:bCs/>
        </w:rPr>
        <w:t>Where an applicant instructed a lawyer in time, his rights should not be blocked on the grounds of his lawyer’s negligence or omission to comply with the requirement of the law.</w:t>
      </w:r>
    </w:p>
    <w:p w:rsidR="00370FB0" w:rsidRPr="00CB03F8" w:rsidRDefault="00370FB0" w:rsidP="00370FB0">
      <w:pPr>
        <w:numPr>
          <w:ilvl w:val="0"/>
          <w:numId w:val="1"/>
        </w:numPr>
        <w:spacing w:before="240" w:line="276" w:lineRule="auto"/>
        <w:jc w:val="both"/>
        <w:rPr>
          <w:b/>
          <w:bCs/>
        </w:rPr>
      </w:pPr>
      <w:r w:rsidRPr="00CB03F8">
        <w:rPr>
          <w:b/>
          <w:bCs/>
        </w:rPr>
        <w:t>A vigilant applicant should not be penalized for the fault of his counsel on whose actions he has no control.”</w:t>
      </w:r>
    </w:p>
    <w:p w:rsidR="00D03F48" w:rsidRPr="00CB03F8" w:rsidRDefault="006E3090" w:rsidP="00370FB0">
      <w:pPr>
        <w:spacing w:before="240" w:line="276" w:lineRule="auto"/>
        <w:jc w:val="both"/>
        <w:rPr>
          <w:bCs/>
        </w:rPr>
      </w:pPr>
      <w:r w:rsidRPr="00CB03F8">
        <w:rPr>
          <w:bCs/>
        </w:rPr>
        <w:lastRenderedPageBreak/>
        <w:t xml:space="preserve">Respondents </w:t>
      </w:r>
      <w:r w:rsidR="00370FB0" w:rsidRPr="00CB03F8">
        <w:rPr>
          <w:bCs/>
        </w:rPr>
        <w:t>Counsel</w:t>
      </w:r>
      <w:r w:rsidRPr="00CB03F8">
        <w:rPr>
          <w:bCs/>
        </w:rPr>
        <w:t>’s submission that the applicant has not attached medical forms is devoid of merit since not every sickness/illness leads to seeking medical attention unles</w:t>
      </w:r>
      <w:r w:rsidR="00D03F48" w:rsidRPr="00CB03F8">
        <w:rPr>
          <w:bCs/>
        </w:rPr>
        <w:t>s a party states that he states that he went to see a doctor.</w:t>
      </w:r>
    </w:p>
    <w:p w:rsidR="00D03F48" w:rsidRPr="00CB03F8" w:rsidRDefault="00D03F48" w:rsidP="00370FB0">
      <w:pPr>
        <w:spacing w:before="240" w:line="276" w:lineRule="auto"/>
        <w:jc w:val="both"/>
        <w:rPr>
          <w:bCs/>
        </w:rPr>
      </w:pPr>
      <w:r w:rsidRPr="00CB03F8">
        <w:rPr>
          <w:bCs/>
        </w:rPr>
        <w:t>A party could have been feeling unwell and opted to rest and or took simple medication to feel better. It is not a requirement of the law that whenever a person is ill he/she must produce medical documents in proof of sickness or illness.</w:t>
      </w:r>
    </w:p>
    <w:p w:rsidR="00D03F48" w:rsidRPr="00CB03F8" w:rsidRDefault="00D03F48" w:rsidP="00370FB0">
      <w:pPr>
        <w:spacing w:before="240" w:line="276" w:lineRule="auto"/>
        <w:jc w:val="both"/>
        <w:rPr>
          <w:bCs/>
        </w:rPr>
      </w:pPr>
      <w:r w:rsidRPr="00CB03F8">
        <w:rPr>
          <w:bCs/>
        </w:rPr>
        <w:t>The respondents counsel has also submitted that the evidence of sickness was made by the applicant and that this was hearsay. He wondered why the said lawyer who was sick had not deposed any affidavit.</w:t>
      </w:r>
    </w:p>
    <w:p w:rsidR="00D03F48" w:rsidRPr="00CB03F8" w:rsidRDefault="00D03F48" w:rsidP="00370FB0">
      <w:pPr>
        <w:spacing w:before="240" w:line="276" w:lineRule="auto"/>
        <w:jc w:val="both"/>
        <w:rPr>
          <w:bCs/>
        </w:rPr>
      </w:pPr>
      <w:r w:rsidRPr="00CB03F8">
        <w:rPr>
          <w:bCs/>
        </w:rPr>
        <w:t>Under Order 19</w:t>
      </w:r>
      <w:r w:rsidR="00D37864" w:rsidRPr="00CB03F8">
        <w:rPr>
          <w:bCs/>
        </w:rPr>
        <w:t xml:space="preserve"> rule 3</w:t>
      </w:r>
      <w:r w:rsidRPr="00CB03F8">
        <w:rPr>
          <w:bCs/>
        </w:rPr>
        <w:t xml:space="preserve"> of the Civil Procedure Rules, in applications like the present one an a</w:t>
      </w:r>
      <w:r w:rsidR="00D37864" w:rsidRPr="00CB03F8">
        <w:rPr>
          <w:bCs/>
        </w:rPr>
        <w:t>ffidavit may contain evidence of this nature to prove sickness/illness.</w:t>
      </w:r>
    </w:p>
    <w:p w:rsidR="00370FB0" w:rsidRPr="00CB03F8" w:rsidRDefault="00370FB0" w:rsidP="00370FB0">
      <w:pPr>
        <w:spacing w:before="240" w:line="276" w:lineRule="auto"/>
        <w:jc w:val="both"/>
        <w:rPr>
          <w:bCs/>
        </w:rPr>
      </w:pPr>
      <w:r w:rsidRPr="00CB03F8">
        <w:rPr>
          <w:bCs/>
        </w:rPr>
        <w:t>The Sup</w:t>
      </w:r>
      <w:r w:rsidR="00D03F48" w:rsidRPr="00CB03F8">
        <w:rPr>
          <w:bCs/>
        </w:rPr>
        <w:t>r</w:t>
      </w:r>
      <w:r w:rsidRPr="00CB03F8">
        <w:rPr>
          <w:bCs/>
        </w:rPr>
        <w:t xml:space="preserve">eme Court has in several cases held that inadvertence of counsel can constitute sufficient reason to extend time. In </w:t>
      </w:r>
      <w:proofErr w:type="spellStart"/>
      <w:r w:rsidRPr="00CB03F8">
        <w:rPr>
          <w:b/>
          <w:bCs/>
          <w:u w:val="single"/>
        </w:rPr>
        <w:t>Kaderbhai</w:t>
      </w:r>
      <w:proofErr w:type="spellEnd"/>
      <w:r w:rsidRPr="00CB03F8">
        <w:rPr>
          <w:b/>
          <w:bCs/>
          <w:u w:val="single"/>
        </w:rPr>
        <w:t xml:space="preserve"> &amp; </w:t>
      </w:r>
      <w:proofErr w:type="spellStart"/>
      <w:r w:rsidRPr="00CB03F8">
        <w:rPr>
          <w:b/>
          <w:bCs/>
          <w:u w:val="single"/>
        </w:rPr>
        <w:t>Anor</w:t>
      </w:r>
      <w:proofErr w:type="spellEnd"/>
      <w:r w:rsidRPr="00CB03F8">
        <w:rPr>
          <w:b/>
          <w:bCs/>
          <w:u w:val="single"/>
        </w:rPr>
        <w:t xml:space="preserve"> vs. </w:t>
      </w:r>
      <w:proofErr w:type="spellStart"/>
      <w:r w:rsidRPr="00CB03F8">
        <w:rPr>
          <w:b/>
          <w:bCs/>
          <w:u w:val="single"/>
        </w:rPr>
        <w:t>Shamsherali</w:t>
      </w:r>
      <w:proofErr w:type="spellEnd"/>
      <w:r w:rsidRPr="00CB03F8">
        <w:rPr>
          <w:b/>
          <w:bCs/>
          <w:u w:val="single"/>
        </w:rPr>
        <w:t xml:space="preserve"> &amp; </w:t>
      </w:r>
      <w:proofErr w:type="spellStart"/>
      <w:proofErr w:type="gramStart"/>
      <w:r w:rsidRPr="00CB03F8">
        <w:rPr>
          <w:b/>
          <w:bCs/>
          <w:u w:val="single"/>
        </w:rPr>
        <w:t>ors</w:t>
      </w:r>
      <w:proofErr w:type="spellEnd"/>
      <w:r w:rsidRPr="00CB03F8">
        <w:rPr>
          <w:bCs/>
        </w:rPr>
        <w:t xml:space="preserve">  S.C</w:t>
      </w:r>
      <w:proofErr w:type="gramEnd"/>
      <w:r w:rsidRPr="00CB03F8">
        <w:rPr>
          <w:bCs/>
        </w:rPr>
        <w:t xml:space="preserve">. Civil Application No. 20 of 2008  </w:t>
      </w:r>
      <w:proofErr w:type="spellStart"/>
      <w:r w:rsidRPr="00CB03F8">
        <w:rPr>
          <w:bCs/>
        </w:rPr>
        <w:t>Okello</w:t>
      </w:r>
      <w:proofErr w:type="spellEnd"/>
      <w:r w:rsidRPr="00CB03F8">
        <w:rPr>
          <w:bCs/>
        </w:rPr>
        <w:t>, JSC, held that the inadvertent failure of counsel to serve a Notice of Appeal and to copy to and serve the letter requesting for record of proceedings constituted the necessary sufficient cause.</w:t>
      </w:r>
    </w:p>
    <w:p w:rsidR="00370FB0" w:rsidRPr="00CB03F8" w:rsidRDefault="00370FB0" w:rsidP="00370FB0">
      <w:pPr>
        <w:spacing w:before="240" w:line="276" w:lineRule="auto"/>
        <w:jc w:val="both"/>
        <w:rPr>
          <w:bCs/>
        </w:rPr>
      </w:pPr>
      <w:r w:rsidRPr="00CB03F8">
        <w:rPr>
          <w:bCs/>
        </w:rPr>
        <w:t xml:space="preserve">In </w:t>
      </w:r>
      <w:r w:rsidRPr="00CB03F8">
        <w:rPr>
          <w:b/>
          <w:bCs/>
          <w:u w:val="single"/>
        </w:rPr>
        <w:t xml:space="preserve">AG vs. AKPM </w:t>
      </w:r>
      <w:proofErr w:type="spellStart"/>
      <w:proofErr w:type="gramStart"/>
      <w:r w:rsidRPr="00CB03F8">
        <w:rPr>
          <w:b/>
          <w:bCs/>
          <w:u w:val="single"/>
        </w:rPr>
        <w:t>Lutaaya</w:t>
      </w:r>
      <w:proofErr w:type="spellEnd"/>
      <w:r w:rsidRPr="00CB03F8">
        <w:rPr>
          <w:bCs/>
        </w:rPr>
        <w:t xml:space="preserve">  SCCA</w:t>
      </w:r>
      <w:proofErr w:type="gramEnd"/>
      <w:r w:rsidRPr="00CB03F8">
        <w:rPr>
          <w:bCs/>
        </w:rPr>
        <w:t xml:space="preserve"> No. 12 of 2007, </w:t>
      </w:r>
      <w:proofErr w:type="spellStart"/>
      <w:r w:rsidRPr="00CB03F8">
        <w:rPr>
          <w:bCs/>
        </w:rPr>
        <w:t>Katureebe</w:t>
      </w:r>
      <w:proofErr w:type="spellEnd"/>
      <w:r w:rsidRPr="00CB03F8">
        <w:rPr>
          <w:bCs/>
        </w:rPr>
        <w:t xml:space="preserve">, JSC, held that the litigant's interests should not be defeated by the mistakes and lapses of his counsel. And in </w:t>
      </w:r>
      <w:r w:rsidRPr="00CB03F8">
        <w:rPr>
          <w:b/>
          <w:bCs/>
          <w:u w:val="single"/>
        </w:rPr>
        <w:t xml:space="preserve">Godfrey </w:t>
      </w:r>
      <w:proofErr w:type="spellStart"/>
      <w:r w:rsidRPr="00CB03F8">
        <w:rPr>
          <w:b/>
          <w:bCs/>
          <w:u w:val="single"/>
        </w:rPr>
        <w:t>Mageze</w:t>
      </w:r>
      <w:proofErr w:type="spellEnd"/>
      <w:r w:rsidRPr="00CB03F8">
        <w:rPr>
          <w:b/>
          <w:bCs/>
          <w:u w:val="single"/>
        </w:rPr>
        <w:t xml:space="preserve"> &amp; Brian </w:t>
      </w:r>
      <w:proofErr w:type="spellStart"/>
      <w:r w:rsidRPr="00CB03F8">
        <w:rPr>
          <w:b/>
          <w:bCs/>
          <w:u w:val="single"/>
        </w:rPr>
        <w:t>Mbazira</w:t>
      </w:r>
      <w:proofErr w:type="spellEnd"/>
      <w:r w:rsidRPr="00CB03F8">
        <w:rPr>
          <w:b/>
          <w:bCs/>
          <w:u w:val="single"/>
        </w:rPr>
        <w:t xml:space="preserve"> vs. </w:t>
      </w:r>
      <w:proofErr w:type="spellStart"/>
      <w:r w:rsidRPr="00CB03F8">
        <w:rPr>
          <w:b/>
          <w:bCs/>
          <w:u w:val="single"/>
        </w:rPr>
        <w:t>Sudhir</w:t>
      </w:r>
      <w:proofErr w:type="spellEnd"/>
      <w:r w:rsidRPr="00CB03F8">
        <w:rPr>
          <w:b/>
          <w:bCs/>
          <w:u w:val="single"/>
        </w:rPr>
        <w:t xml:space="preserve"> </w:t>
      </w:r>
      <w:proofErr w:type="spellStart"/>
      <w:r w:rsidRPr="00CB03F8">
        <w:rPr>
          <w:b/>
          <w:bCs/>
          <w:u w:val="single"/>
        </w:rPr>
        <w:t>Ruparelia</w:t>
      </w:r>
      <w:proofErr w:type="spellEnd"/>
      <w:r w:rsidRPr="00CB03F8">
        <w:rPr>
          <w:b/>
          <w:bCs/>
          <w:u w:val="single"/>
        </w:rPr>
        <w:t xml:space="preserve"> </w:t>
      </w:r>
      <w:r w:rsidRPr="00CB03F8">
        <w:rPr>
          <w:bCs/>
        </w:rPr>
        <w:t xml:space="preserve">SCC Application No. 10 of 2002 </w:t>
      </w:r>
      <w:proofErr w:type="spellStart"/>
      <w:r w:rsidRPr="00CB03F8">
        <w:rPr>
          <w:bCs/>
        </w:rPr>
        <w:t>Karokora</w:t>
      </w:r>
      <w:proofErr w:type="spellEnd"/>
      <w:r w:rsidRPr="00CB03F8">
        <w:rPr>
          <w:bCs/>
        </w:rPr>
        <w:t>, JSC, held that the omission, mistake or inadvertence of counsel ought not to be visited on the litigant, leading to the striking out of his appeal there by denying him justice</w:t>
      </w:r>
    </w:p>
    <w:p w:rsidR="00370FB0" w:rsidRPr="00CB03F8" w:rsidRDefault="00370FB0" w:rsidP="00370FB0">
      <w:pPr>
        <w:spacing w:before="240" w:line="276" w:lineRule="auto"/>
        <w:jc w:val="both"/>
        <w:rPr>
          <w:bCs/>
        </w:rPr>
      </w:pPr>
      <w:r w:rsidRPr="00CB03F8">
        <w:rPr>
          <w:bCs/>
        </w:rPr>
        <w:t xml:space="preserve">In </w:t>
      </w:r>
      <w:r w:rsidRPr="00CB03F8">
        <w:rPr>
          <w:b/>
          <w:bCs/>
        </w:rPr>
        <w:t xml:space="preserve">Joel Kato &amp; </w:t>
      </w:r>
      <w:proofErr w:type="spellStart"/>
      <w:r w:rsidRPr="00CB03F8">
        <w:rPr>
          <w:b/>
          <w:bCs/>
        </w:rPr>
        <w:t>Anor</w:t>
      </w:r>
      <w:proofErr w:type="spellEnd"/>
      <w:r w:rsidRPr="00CB03F8">
        <w:rPr>
          <w:b/>
          <w:bCs/>
        </w:rPr>
        <w:t xml:space="preserve"> v </w:t>
      </w:r>
      <w:proofErr w:type="spellStart"/>
      <w:r w:rsidRPr="00CB03F8">
        <w:rPr>
          <w:b/>
          <w:bCs/>
        </w:rPr>
        <w:t>Nuulu</w:t>
      </w:r>
      <w:proofErr w:type="spellEnd"/>
      <w:r w:rsidRPr="00CB03F8">
        <w:rPr>
          <w:b/>
          <w:bCs/>
        </w:rPr>
        <w:t xml:space="preserve"> </w:t>
      </w:r>
      <w:proofErr w:type="spellStart"/>
      <w:r w:rsidRPr="00CB03F8">
        <w:rPr>
          <w:b/>
          <w:bCs/>
        </w:rPr>
        <w:t>Nalwoga</w:t>
      </w:r>
      <w:proofErr w:type="spellEnd"/>
      <w:r w:rsidRPr="00CB03F8">
        <w:rPr>
          <w:b/>
          <w:bCs/>
        </w:rPr>
        <w:t xml:space="preserve"> (Misc. Application No 04 </w:t>
      </w:r>
      <w:proofErr w:type="gramStart"/>
      <w:r w:rsidRPr="00CB03F8">
        <w:rPr>
          <w:b/>
          <w:bCs/>
        </w:rPr>
        <w:t>Of</w:t>
      </w:r>
      <w:proofErr w:type="gramEnd"/>
      <w:r w:rsidRPr="00CB03F8">
        <w:rPr>
          <w:b/>
          <w:bCs/>
        </w:rPr>
        <w:t xml:space="preserve"> 2012) [2012] UGSC 2 (26 June 2012); </w:t>
      </w:r>
      <w:r w:rsidRPr="00CB03F8">
        <w:rPr>
          <w:bCs/>
        </w:rPr>
        <w:t xml:space="preserve">the Supreme Court held </w:t>
      </w:r>
    </w:p>
    <w:p w:rsidR="00370FB0" w:rsidRPr="00CB03F8" w:rsidRDefault="00370FB0" w:rsidP="00370FB0">
      <w:pPr>
        <w:spacing w:before="240" w:line="276" w:lineRule="auto"/>
        <w:ind w:firstLine="720"/>
        <w:jc w:val="both"/>
        <w:rPr>
          <w:bCs/>
        </w:rPr>
      </w:pPr>
      <w:r w:rsidRPr="00CB03F8">
        <w:rPr>
          <w:bCs/>
        </w:rPr>
        <w:t>“</w:t>
      </w:r>
      <w:r w:rsidRPr="00CB03F8">
        <w:rPr>
          <w:b/>
          <w:bCs/>
          <w:i/>
        </w:rPr>
        <w:t>I do not think it is right to blame the applicants, lay people as they are, for the delay in securing the record of proceedings from the Court of Appeal. These are matters which squarely fall within the province of professional lawyers who possess the necessary training and experience to handle them. That is why I believe the applicants found it necessary to engage new lawyers to deal with them</w:t>
      </w:r>
      <w:r w:rsidRPr="00CB03F8">
        <w:rPr>
          <w:bCs/>
        </w:rPr>
        <w:t>.”</w:t>
      </w:r>
    </w:p>
    <w:p w:rsidR="00370FB0" w:rsidRPr="00CB03F8" w:rsidRDefault="00370FB0" w:rsidP="00370FB0">
      <w:pPr>
        <w:spacing w:before="240" w:line="276" w:lineRule="auto"/>
        <w:jc w:val="both"/>
        <w:rPr>
          <w:bCs/>
        </w:rPr>
      </w:pPr>
      <w:r w:rsidRPr="00CB03F8">
        <w:rPr>
          <w:bCs/>
        </w:rPr>
        <w:t>On that premise</w:t>
      </w:r>
      <w:r w:rsidR="00D37864" w:rsidRPr="00CB03F8">
        <w:rPr>
          <w:bCs/>
        </w:rPr>
        <w:t xml:space="preserve"> as shown in the different authorities herein discussed</w:t>
      </w:r>
      <w:r w:rsidRPr="00CB03F8">
        <w:rPr>
          <w:bCs/>
        </w:rPr>
        <w:t xml:space="preserve">, it is just and fair that this application be </w:t>
      </w:r>
      <w:r w:rsidR="00D37864" w:rsidRPr="00CB03F8">
        <w:rPr>
          <w:bCs/>
        </w:rPr>
        <w:t>allowed</w:t>
      </w:r>
      <w:r w:rsidRPr="00CB03F8">
        <w:rPr>
          <w:bCs/>
        </w:rPr>
        <w:t xml:space="preserve">; the </w:t>
      </w:r>
      <w:r w:rsidR="00D37864" w:rsidRPr="00CB03F8">
        <w:rPr>
          <w:bCs/>
        </w:rPr>
        <w:t xml:space="preserve">order of dismissal is </w:t>
      </w:r>
      <w:r w:rsidRPr="00CB03F8">
        <w:rPr>
          <w:bCs/>
        </w:rPr>
        <w:t xml:space="preserve">set aside and the </w:t>
      </w:r>
      <w:r w:rsidR="00D37864" w:rsidRPr="00CB03F8">
        <w:rPr>
          <w:bCs/>
        </w:rPr>
        <w:t>main application No. 39 0f 2018 is re-instated.</w:t>
      </w:r>
    </w:p>
    <w:p w:rsidR="00370FB0" w:rsidRPr="00CB03F8" w:rsidRDefault="00370FB0" w:rsidP="00370FB0">
      <w:pPr>
        <w:spacing w:before="240" w:line="276" w:lineRule="auto"/>
        <w:jc w:val="both"/>
        <w:rPr>
          <w:bCs/>
        </w:rPr>
      </w:pPr>
      <w:r w:rsidRPr="00CB03F8">
        <w:rPr>
          <w:bCs/>
        </w:rPr>
        <w:t xml:space="preserve">This application is allowed with </w:t>
      </w:r>
      <w:r w:rsidR="00D37864" w:rsidRPr="00CB03F8">
        <w:rPr>
          <w:bCs/>
        </w:rPr>
        <w:t>no order as to costs.</w:t>
      </w:r>
    </w:p>
    <w:p w:rsidR="00370FB0" w:rsidRPr="00CB03F8" w:rsidRDefault="00370FB0" w:rsidP="00370FB0">
      <w:pPr>
        <w:tabs>
          <w:tab w:val="left" w:pos="2685"/>
        </w:tabs>
        <w:jc w:val="both"/>
        <w:rPr>
          <w:lang w:val="en-GB"/>
        </w:rPr>
      </w:pPr>
      <w:r w:rsidRPr="00CB03F8">
        <w:rPr>
          <w:lang w:val="en-GB"/>
        </w:rPr>
        <w:t xml:space="preserve">It is so ordered. </w:t>
      </w:r>
    </w:p>
    <w:p w:rsidR="00370FB0" w:rsidRPr="00CB03F8" w:rsidRDefault="00370FB0" w:rsidP="00370FB0">
      <w:pPr>
        <w:tabs>
          <w:tab w:val="left" w:pos="2685"/>
        </w:tabs>
        <w:jc w:val="both"/>
        <w:rPr>
          <w:lang w:val="en-GB"/>
        </w:rPr>
      </w:pPr>
    </w:p>
    <w:p w:rsidR="00370FB0" w:rsidRPr="00CB03F8" w:rsidRDefault="00370FB0" w:rsidP="00370FB0">
      <w:pPr>
        <w:tabs>
          <w:tab w:val="left" w:pos="2685"/>
        </w:tabs>
        <w:jc w:val="both"/>
        <w:rPr>
          <w:lang w:val="en-GB"/>
        </w:rPr>
      </w:pPr>
    </w:p>
    <w:p w:rsidR="00370FB0" w:rsidRPr="00CB03F8" w:rsidRDefault="00370FB0" w:rsidP="00370FB0">
      <w:pPr>
        <w:tabs>
          <w:tab w:val="left" w:pos="2685"/>
        </w:tabs>
        <w:jc w:val="both"/>
        <w:rPr>
          <w:b/>
          <w:i/>
          <w:lang w:val="en-GB"/>
        </w:rPr>
      </w:pPr>
      <w:r w:rsidRPr="00CB03F8">
        <w:rPr>
          <w:b/>
          <w:i/>
          <w:lang w:val="en-GB"/>
        </w:rPr>
        <w:t xml:space="preserve">SSEKAANA MUSA </w:t>
      </w:r>
    </w:p>
    <w:p w:rsidR="00370FB0" w:rsidRPr="00CB03F8" w:rsidRDefault="00370FB0" w:rsidP="00370FB0">
      <w:pPr>
        <w:tabs>
          <w:tab w:val="left" w:pos="2685"/>
        </w:tabs>
        <w:jc w:val="both"/>
        <w:rPr>
          <w:b/>
          <w:i/>
          <w:lang w:val="en-GB"/>
        </w:rPr>
      </w:pPr>
      <w:r w:rsidRPr="00CB03F8">
        <w:rPr>
          <w:b/>
          <w:i/>
          <w:lang w:val="en-GB"/>
        </w:rPr>
        <w:t xml:space="preserve">JUDGE </w:t>
      </w:r>
    </w:p>
    <w:p w:rsidR="00370FB0" w:rsidRPr="00CB03F8" w:rsidRDefault="00D37864" w:rsidP="00370FB0">
      <w:pPr>
        <w:tabs>
          <w:tab w:val="left" w:pos="2685"/>
        </w:tabs>
        <w:jc w:val="both"/>
        <w:rPr>
          <w:i/>
        </w:rPr>
      </w:pPr>
      <w:r w:rsidRPr="00CB03F8">
        <w:rPr>
          <w:b/>
          <w:i/>
          <w:lang w:val="en-GB"/>
        </w:rPr>
        <w:t>11</w:t>
      </w:r>
      <w:r w:rsidRPr="00CB03F8">
        <w:rPr>
          <w:b/>
          <w:i/>
          <w:vertAlign w:val="superscript"/>
          <w:lang w:val="en-GB"/>
        </w:rPr>
        <w:t>th</w:t>
      </w:r>
      <w:r w:rsidR="00370FB0" w:rsidRPr="00CB03F8">
        <w:rPr>
          <w:b/>
          <w:i/>
          <w:lang w:val="en-GB"/>
        </w:rPr>
        <w:t>/</w:t>
      </w:r>
      <w:r w:rsidRPr="00CB03F8">
        <w:rPr>
          <w:b/>
          <w:i/>
          <w:lang w:val="en-GB"/>
        </w:rPr>
        <w:t>04</w:t>
      </w:r>
      <w:r w:rsidR="00370FB0" w:rsidRPr="00CB03F8">
        <w:rPr>
          <w:b/>
          <w:i/>
          <w:lang w:val="en-GB"/>
        </w:rPr>
        <w:t>/201</w:t>
      </w:r>
      <w:r w:rsidRPr="00CB03F8">
        <w:rPr>
          <w:b/>
          <w:i/>
          <w:lang w:val="en-GB"/>
        </w:rPr>
        <w:t>9</w:t>
      </w:r>
    </w:p>
    <w:p w:rsidR="002D2A52" w:rsidRPr="00CB03F8" w:rsidRDefault="002D2A52" w:rsidP="00370FB0">
      <w:pPr>
        <w:jc w:val="both"/>
      </w:pPr>
    </w:p>
    <w:sectPr w:rsidR="002D2A52" w:rsidRPr="00CB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24FAA"/>
    <w:multiLevelType w:val="hybridMultilevel"/>
    <w:tmpl w:val="71345AE6"/>
    <w:lvl w:ilvl="0" w:tplc="8B3864B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6B048F4"/>
    <w:multiLevelType w:val="multilevel"/>
    <w:tmpl w:val="E87A1AD2"/>
    <w:styleLink w:val="List0"/>
    <w:lvl w:ilvl="0">
      <w:start w:val="1"/>
      <w:numFmt w:val="decimal"/>
      <w:lvlText w:val="%1."/>
      <w:lvlJc w:val="left"/>
      <w:pPr>
        <w:tabs>
          <w:tab w:val="num" w:pos="720"/>
        </w:tabs>
        <w:ind w:left="720" w:hanging="360"/>
      </w:pPr>
      <w:rPr>
        <w:rFonts w:ascii="Optima" w:eastAsia="Optima" w:hAnsi="Optima" w:cs="Optima"/>
        <w:b/>
        <w:bCs/>
        <w:position w:val="0"/>
        <w:sz w:val="24"/>
        <w:szCs w:val="24"/>
        <w:lang w:val="en-US"/>
      </w:rPr>
    </w:lvl>
    <w:lvl w:ilvl="1">
      <w:start w:val="1"/>
      <w:numFmt w:val="lowerLetter"/>
      <w:lvlText w:val="%2."/>
      <w:lvlJc w:val="left"/>
      <w:pPr>
        <w:tabs>
          <w:tab w:val="num" w:pos="116"/>
        </w:tabs>
      </w:pPr>
      <w:rPr>
        <w:rFonts w:ascii="Optima" w:eastAsia="Optima" w:hAnsi="Optima" w:cs="Optima"/>
        <w:b/>
        <w:bCs/>
        <w:position w:val="0"/>
        <w:sz w:val="24"/>
        <w:szCs w:val="24"/>
        <w:lang w:val="en-US"/>
      </w:rPr>
    </w:lvl>
    <w:lvl w:ilvl="2">
      <w:start w:val="1"/>
      <w:numFmt w:val="lowerRoman"/>
      <w:lvlText w:val="%3."/>
      <w:lvlJc w:val="left"/>
      <w:pPr>
        <w:tabs>
          <w:tab w:val="num" w:pos="116"/>
        </w:tabs>
      </w:pPr>
      <w:rPr>
        <w:rFonts w:ascii="Optima" w:eastAsia="Optima" w:hAnsi="Optima" w:cs="Optima"/>
        <w:b/>
        <w:bCs/>
        <w:position w:val="0"/>
        <w:sz w:val="24"/>
        <w:szCs w:val="24"/>
        <w:lang w:val="en-US"/>
      </w:rPr>
    </w:lvl>
    <w:lvl w:ilvl="3">
      <w:start w:val="1"/>
      <w:numFmt w:val="decimal"/>
      <w:lvlText w:val="%4."/>
      <w:lvlJc w:val="left"/>
      <w:pPr>
        <w:tabs>
          <w:tab w:val="num" w:pos="116"/>
        </w:tabs>
      </w:pPr>
      <w:rPr>
        <w:rFonts w:ascii="Optima" w:eastAsia="Optima" w:hAnsi="Optima" w:cs="Optima"/>
        <w:b/>
        <w:bCs/>
        <w:position w:val="0"/>
        <w:sz w:val="24"/>
        <w:szCs w:val="24"/>
        <w:lang w:val="en-US"/>
      </w:rPr>
    </w:lvl>
    <w:lvl w:ilvl="4">
      <w:start w:val="1"/>
      <w:numFmt w:val="lowerLetter"/>
      <w:lvlText w:val="%5."/>
      <w:lvlJc w:val="left"/>
      <w:pPr>
        <w:tabs>
          <w:tab w:val="num" w:pos="116"/>
        </w:tabs>
      </w:pPr>
      <w:rPr>
        <w:rFonts w:ascii="Optima" w:eastAsia="Optima" w:hAnsi="Optima" w:cs="Optima"/>
        <w:b/>
        <w:bCs/>
        <w:position w:val="0"/>
        <w:sz w:val="24"/>
        <w:szCs w:val="24"/>
        <w:lang w:val="en-US"/>
      </w:rPr>
    </w:lvl>
    <w:lvl w:ilvl="5">
      <w:start w:val="1"/>
      <w:numFmt w:val="lowerRoman"/>
      <w:lvlText w:val="%6."/>
      <w:lvlJc w:val="left"/>
      <w:pPr>
        <w:tabs>
          <w:tab w:val="num" w:pos="116"/>
        </w:tabs>
      </w:pPr>
      <w:rPr>
        <w:rFonts w:ascii="Optima" w:eastAsia="Optima" w:hAnsi="Optima" w:cs="Optima"/>
        <w:b/>
        <w:bCs/>
        <w:position w:val="0"/>
        <w:sz w:val="24"/>
        <w:szCs w:val="24"/>
        <w:lang w:val="en-US"/>
      </w:rPr>
    </w:lvl>
    <w:lvl w:ilvl="6">
      <w:start w:val="1"/>
      <w:numFmt w:val="decimal"/>
      <w:lvlText w:val="%7."/>
      <w:lvlJc w:val="left"/>
      <w:pPr>
        <w:tabs>
          <w:tab w:val="num" w:pos="116"/>
        </w:tabs>
      </w:pPr>
      <w:rPr>
        <w:rFonts w:ascii="Optima" w:eastAsia="Optima" w:hAnsi="Optima" w:cs="Optima"/>
        <w:b/>
        <w:bCs/>
        <w:position w:val="0"/>
        <w:sz w:val="24"/>
        <w:szCs w:val="24"/>
        <w:lang w:val="en-US"/>
      </w:rPr>
    </w:lvl>
    <w:lvl w:ilvl="7">
      <w:start w:val="1"/>
      <w:numFmt w:val="lowerLetter"/>
      <w:lvlText w:val="%8."/>
      <w:lvlJc w:val="left"/>
      <w:pPr>
        <w:tabs>
          <w:tab w:val="num" w:pos="116"/>
        </w:tabs>
      </w:pPr>
      <w:rPr>
        <w:rFonts w:ascii="Optima" w:eastAsia="Optima" w:hAnsi="Optima" w:cs="Optima"/>
        <w:b/>
        <w:bCs/>
        <w:position w:val="0"/>
        <w:sz w:val="24"/>
        <w:szCs w:val="24"/>
        <w:lang w:val="en-US"/>
      </w:rPr>
    </w:lvl>
    <w:lvl w:ilvl="8">
      <w:start w:val="1"/>
      <w:numFmt w:val="lowerRoman"/>
      <w:lvlText w:val="%9."/>
      <w:lvlJc w:val="left"/>
      <w:pPr>
        <w:tabs>
          <w:tab w:val="num" w:pos="116"/>
        </w:tabs>
      </w:pPr>
      <w:rPr>
        <w:rFonts w:ascii="Optima" w:eastAsia="Optima" w:hAnsi="Optima" w:cs="Optima"/>
        <w:b/>
        <w:bCs/>
        <w:position w:val="0"/>
        <w:sz w:val="24"/>
        <w:szCs w:val="24"/>
        <w:lang w:val="en-U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B0"/>
    <w:rsid w:val="0004675F"/>
    <w:rsid w:val="002D2A52"/>
    <w:rsid w:val="00370FB0"/>
    <w:rsid w:val="006E3090"/>
    <w:rsid w:val="00A85976"/>
    <w:rsid w:val="00CB03F8"/>
    <w:rsid w:val="00D03F48"/>
    <w:rsid w:val="00D37864"/>
    <w:rsid w:val="00D9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0F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370F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FB0"/>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370FB0"/>
    <w:rPr>
      <w:rFonts w:ascii="Arial" w:eastAsia="Times New Roman" w:hAnsi="Arial" w:cs="Arial"/>
      <w:b/>
      <w:bCs/>
      <w:sz w:val="26"/>
      <w:szCs w:val="26"/>
    </w:rPr>
  </w:style>
  <w:style w:type="paragraph" w:customStyle="1" w:styleId="BodyA">
    <w:name w:val="Body A"/>
    <w:rsid w:val="00370FB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rsid w:val="00370FB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List0">
    <w:name w:val="List 0"/>
    <w:basedOn w:val="NoList"/>
    <w:rsid w:val="00370FB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0F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370F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FB0"/>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370FB0"/>
    <w:rPr>
      <w:rFonts w:ascii="Arial" w:eastAsia="Times New Roman" w:hAnsi="Arial" w:cs="Arial"/>
      <w:b/>
      <w:bCs/>
      <w:sz w:val="26"/>
      <w:szCs w:val="26"/>
    </w:rPr>
  </w:style>
  <w:style w:type="paragraph" w:customStyle="1" w:styleId="BodyA">
    <w:name w:val="Body A"/>
    <w:rsid w:val="00370FB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rsid w:val="00370FB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rPr>
  </w:style>
  <w:style w:type="numbering" w:customStyle="1" w:styleId="List0">
    <w:name w:val="List 0"/>
    <w:basedOn w:val="NoList"/>
    <w:rsid w:val="00370FB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dcterms:created xsi:type="dcterms:W3CDTF">2019-04-11T11:08:00Z</dcterms:created>
  <dcterms:modified xsi:type="dcterms:W3CDTF">2019-04-11T11:08:00Z</dcterms:modified>
</cp:coreProperties>
</file>