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74" w:rsidRPr="007F1A46" w:rsidRDefault="00125874" w:rsidP="00125874">
      <w:pPr>
        <w:rPr>
          <w:b/>
          <w:sz w:val="28"/>
          <w:szCs w:val="28"/>
          <w:u w:val="single"/>
        </w:rPr>
      </w:pPr>
    </w:p>
    <w:p w:rsidR="00125874" w:rsidRPr="007F1A46" w:rsidRDefault="00125874" w:rsidP="00AF5FE0">
      <w:pPr>
        <w:spacing w:line="480" w:lineRule="auto"/>
        <w:jc w:val="center"/>
        <w:rPr>
          <w:b/>
          <w:sz w:val="28"/>
          <w:szCs w:val="28"/>
        </w:rPr>
      </w:pPr>
      <w:r w:rsidRPr="007F1A46">
        <w:rPr>
          <w:b/>
          <w:sz w:val="28"/>
          <w:szCs w:val="28"/>
        </w:rPr>
        <w:t>THE REPUBLIC OF UGANDA</w:t>
      </w:r>
    </w:p>
    <w:p w:rsidR="00125874" w:rsidRPr="007F1A46" w:rsidRDefault="00125874" w:rsidP="00AF5FE0">
      <w:pPr>
        <w:spacing w:line="480" w:lineRule="auto"/>
        <w:jc w:val="center"/>
        <w:rPr>
          <w:b/>
          <w:sz w:val="28"/>
          <w:szCs w:val="28"/>
        </w:rPr>
      </w:pPr>
      <w:r w:rsidRPr="007F1A46">
        <w:rPr>
          <w:b/>
          <w:sz w:val="28"/>
          <w:szCs w:val="28"/>
        </w:rPr>
        <w:t>IN THE HIGH COURT OF UGANDA AT KAMPALA</w:t>
      </w:r>
    </w:p>
    <w:p w:rsidR="00125874" w:rsidRPr="007F1A46" w:rsidRDefault="00125874" w:rsidP="00AF5FE0">
      <w:pPr>
        <w:spacing w:line="480" w:lineRule="auto"/>
        <w:jc w:val="center"/>
        <w:rPr>
          <w:b/>
          <w:sz w:val="28"/>
          <w:szCs w:val="28"/>
        </w:rPr>
      </w:pPr>
      <w:r w:rsidRPr="007F1A46">
        <w:rPr>
          <w:b/>
          <w:sz w:val="28"/>
          <w:szCs w:val="28"/>
        </w:rPr>
        <w:t>(COMMERCIAL DIVISION)</w:t>
      </w:r>
    </w:p>
    <w:p w:rsidR="00125874" w:rsidRPr="007F1A46" w:rsidRDefault="00125874" w:rsidP="00125874">
      <w:pPr>
        <w:jc w:val="center"/>
        <w:rPr>
          <w:b/>
          <w:sz w:val="28"/>
          <w:szCs w:val="28"/>
        </w:rPr>
      </w:pPr>
    </w:p>
    <w:p w:rsidR="00125874" w:rsidRPr="007F1A46" w:rsidRDefault="00FC7E75" w:rsidP="00125874">
      <w:pPr>
        <w:jc w:val="center"/>
        <w:rPr>
          <w:b/>
          <w:sz w:val="28"/>
          <w:szCs w:val="28"/>
        </w:rPr>
      </w:pPr>
      <w:r w:rsidRPr="007F1A46">
        <w:rPr>
          <w:b/>
          <w:sz w:val="28"/>
          <w:szCs w:val="28"/>
        </w:rPr>
        <w:t xml:space="preserve">HIGH COURT </w:t>
      </w:r>
      <w:r w:rsidR="00125874" w:rsidRPr="007F1A46">
        <w:rPr>
          <w:b/>
          <w:sz w:val="28"/>
          <w:szCs w:val="28"/>
        </w:rPr>
        <w:t>CIVIL SUIT NO.236 OF 2008</w:t>
      </w:r>
    </w:p>
    <w:p w:rsidR="005C60C5" w:rsidRPr="007F1A46" w:rsidRDefault="005C60C5" w:rsidP="00125874">
      <w:pPr>
        <w:jc w:val="center"/>
        <w:rPr>
          <w:b/>
          <w:sz w:val="28"/>
          <w:szCs w:val="28"/>
        </w:rPr>
      </w:pPr>
    </w:p>
    <w:p w:rsidR="005C60C5" w:rsidRPr="007F1A46" w:rsidRDefault="005C60C5" w:rsidP="00125874">
      <w:pPr>
        <w:jc w:val="center"/>
        <w:rPr>
          <w:b/>
          <w:sz w:val="28"/>
          <w:szCs w:val="28"/>
        </w:rPr>
      </w:pPr>
    </w:p>
    <w:p w:rsidR="00125874" w:rsidRPr="007F1A46" w:rsidRDefault="00125874" w:rsidP="00125874">
      <w:pPr>
        <w:jc w:val="center"/>
        <w:rPr>
          <w:b/>
          <w:sz w:val="28"/>
          <w:szCs w:val="28"/>
        </w:rPr>
      </w:pPr>
    </w:p>
    <w:p w:rsidR="00125874" w:rsidRPr="007F1A46" w:rsidRDefault="00125874" w:rsidP="00125874">
      <w:pPr>
        <w:jc w:val="center"/>
        <w:rPr>
          <w:b/>
          <w:sz w:val="28"/>
          <w:szCs w:val="28"/>
        </w:rPr>
      </w:pPr>
      <w:r w:rsidRPr="007F1A46">
        <w:rPr>
          <w:b/>
          <w:sz w:val="28"/>
          <w:szCs w:val="28"/>
        </w:rPr>
        <w:t xml:space="preserve">SPEAR HOUSE </w:t>
      </w:r>
      <w:proofErr w:type="gramStart"/>
      <w:r w:rsidRPr="007F1A46">
        <w:rPr>
          <w:b/>
          <w:sz w:val="28"/>
          <w:szCs w:val="28"/>
        </w:rPr>
        <w:t>LIMITED :::::::::::::::::::::::::::::::::::::::::::</w:t>
      </w:r>
      <w:proofErr w:type="gramEnd"/>
      <w:r w:rsidRPr="007F1A46">
        <w:rPr>
          <w:b/>
          <w:sz w:val="28"/>
          <w:szCs w:val="28"/>
        </w:rPr>
        <w:t>PLAINTIFF</w:t>
      </w:r>
    </w:p>
    <w:p w:rsidR="00125874" w:rsidRPr="007F1A46" w:rsidRDefault="00125874" w:rsidP="00125874">
      <w:pPr>
        <w:jc w:val="center"/>
        <w:rPr>
          <w:b/>
          <w:sz w:val="28"/>
          <w:szCs w:val="28"/>
        </w:rPr>
      </w:pPr>
    </w:p>
    <w:p w:rsidR="00125874" w:rsidRPr="007F1A46" w:rsidRDefault="00125874" w:rsidP="00125874">
      <w:pPr>
        <w:jc w:val="center"/>
        <w:rPr>
          <w:b/>
          <w:sz w:val="28"/>
          <w:szCs w:val="28"/>
        </w:rPr>
      </w:pPr>
      <w:r w:rsidRPr="007F1A46">
        <w:rPr>
          <w:b/>
          <w:sz w:val="28"/>
          <w:szCs w:val="28"/>
        </w:rPr>
        <w:t>VERSUS</w:t>
      </w:r>
    </w:p>
    <w:p w:rsidR="00125874" w:rsidRPr="007F1A46" w:rsidRDefault="00125874" w:rsidP="00125874">
      <w:pPr>
        <w:jc w:val="center"/>
        <w:rPr>
          <w:b/>
          <w:sz w:val="28"/>
          <w:szCs w:val="28"/>
        </w:rPr>
      </w:pPr>
    </w:p>
    <w:p w:rsidR="00125874" w:rsidRPr="007F1A46" w:rsidRDefault="00125874" w:rsidP="00125874">
      <w:pPr>
        <w:rPr>
          <w:b/>
          <w:sz w:val="28"/>
          <w:szCs w:val="28"/>
        </w:rPr>
      </w:pPr>
      <w:r w:rsidRPr="007F1A46">
        <w:rPr>
          <w:b/>
          <w:sz w:val="28"/>
          <w:szCs w:val="28"/>
        </w:rPr>
        <w:t>BARCLAYS BANK OF UGANDA LIMITED:::::::::::::::::</w:t>
      </w:r>
      <w:proofErr w:type="gramStart"/>
      <w:r w:rsidRPr="007F1A46">
        <w:rPr>
          <w:b/>
          <w:sz w:val="28"/>
          <w:szCs w:val="28"/>
        </w:rPr>
        <w:t>:DEFENDANT</w:t>
      </w:r>
      <w:proofErr w:type="gramEnd"/>
    </w:p>
    <w:p w:rsidR="00125874" w:rsidRPr="007F1A46" w:rsidRDefault="00125874" w:rsidP="00125874">
      <w:pPr>
        <w:jc w:val="center"/>
        <w:rPr>
          <w:b/>
          <w:sz w:val="28"/>
          <w:szCs w:val="28"/>
        </w:rPr>
      </w:pPr>
    </w:p>
    <w:p w:rsidR="00125874" w:rsidRPr="007F1A46" w:rsidRDefault="00125874" w:rsidP="00125874">
      <w:pPr>
        <w:rPr>
          <w:b/>
          <w:sz w:val="28"/>
          <w:szCs w:val="28"/>
          <w:u w:val="single"/>
        </w:rPr>
      </w:pPr>
    </w:p>
    <w:p w:rsidR="005C60C5" w:rsidRPr="007F1A46" w:rsidRDefault="005C60C5" w:rsidP="00125874">
      <w:pPr>
        <w:rPr>
          <w:b/>
          <w:sz w:val="28"/>
          <w:szCs w:val="28"/>
          <w:u w:val="single"/>
        </w:rPr>
      </w:pPr>
    </w:p>
    <w:p w:rsidR="00125874" w:rsidRPr="007F1A46" w:rsidRDefault="00125874" w:rsidP="00125874">
      <w:pPr>
        <w:rPr>
          <w:b/>
          <w:sz w:val="28"/>
          <w:szCs w:val="28"/>
          <w:u w:val="single"/>
        </w:rPr>
      </w:pPr>
    </w:p>
    <w:p w:rsidR="00125874" w:rsidRPr="007F1A46" w:rsidRDefault="004D2B37" w:rsidP="00AF5FE0">
      <w:pPr>
        <w:spacing w:line="480" w:lineRule="auto"/>
        <w:jc w:val="center"/>
        <w:rPr>
          <w:b/>
          <w:sz w:val="28"/>
          <w:szCs w:val="28"/>
          <w:u w:val="single"/>
        </w:rPr>
      </w:pPr>
      <w:r w:rsidRPr="007F1A46">
        <w:rPr>
          <w:b/>
          <w:sz w:val="28"/>
          <w:szCs w:val="28"/>
          <w:u w:val="single"/>
        </w:rPr>
        <w:t>BEFORE THE HON. MR. JUSTICE HENRY PETER ADONYO</w:t>
      </w:r>
    </w:p>
    <w:p w:rsidR="004D2B37" w:rsidRPr="007F1A46" w:rsidRDefault="004D2B37" w:rsidP="00AF5FE0">
      <w:pPr>
        <w:spacing w:line="480" w:lineRule="auto"/>
        <w:jc w:val="center"/>
        <w:rPr>
          <w:b/>
          <w:sz w:val="28"/>
          <w:szCs w:val="28"/>
          <w:u w:val="single"/>
        </w:rPr>
      </w:pPr>
    </w:p>
    <w:p w:rsidR="004D2B37" w:rsidRPr="007F1A46" w:rsidRDefault="004D2B37" w:rsidP="00AF5FE0">
      <w:pPr>
        <w:spacing w:line="480" w:lineRule="auto"/>
        <w:jc w:val="center"/>
        <w:rPr>
          <w:sz w:val="28"/>
          <w:szCs w:val="28"/>
        </w:rPr>
      </w:pPr>
      <w:r w:rsidRPr="007F1A46">
        <w:rPr>
          <w:b/>
          <w:sz w:val="28"/>
          <w:szCs w:val="28"/>
          <w:u w:val="single"/>
        </w:rPr>
        <w:t>JUDGMENT</w:t>
      </w:r>
    </w:p>
    <w:p w:rsidR="004D2B37" w:rsidRPr="007F1A46" w:rsidRDefault="00C84C37" w:rsidP="00AF5FE0">
      <w:pPr>
        <w:pStyle w:val="ListParagraph"/>
        <w:numPr>
          <w:ilvl w:val="0"/>
          <w:numId w:val="1"/>
        </w:numPr>
        <w:spacing w:line="480" w:lineRule="auto"/>
        <w:rPr>
          <w:b/>
          <w:sz w:val="28"/>
          <w:szCs w:val="28"/>
          <w:u w:val="single"/>
        </w:rPr>
      </w:pPr>
      <w:r w:rsidRPr="007F1A46">
        <w:rPr>
          <w:b/>
          <w:sz w:val="28"/>
          <w:szCs w:val="28"/>
          <w:u w:val="single"/>
        </w:rPr>
        <w:t>Background:</w:t>
      </w:r>
    </w:p>
    <w:p w:rsidR="00323F20" w:rsidRPr="007F1A46" w:rsidRDefault="00885A52" w:rsidP="00322F12">
      <w:pPr>
        <w:spacing w:line="480" w:lineRule="auto"/>
        <w:jc w:val="both"/>
        <w:rPr>
          <w:sz w:val="28"/>
          <w:szCs w:val="28"/>
        </w:rPr>
      </w:pPr>
      <w:r w:rsidRPr="007F1A46">
        <w:rPr>
          <w:sz w:val="28"/>
          <w:szCs w:val="28"/>
        </w:rPr>
        <w:t xml:space="preserve">The Plaintiff Spear House Ltd rented </w:t>
      </w:r>
      <w:r w:rsidR="00670621" w:rsidRPr="007F1A46">
        <w:rPr>
          <w:sz w:val="28"/>
          <w:szCs w:val="28"/>
        </w:rPr>
        <w:t xml:space="preserve">its </w:t>
      </w:r>
      <w:r w:rsidR="007B2890" w:rsidRPr="007F1A46">
        <w:rPr>
          <w:sz w:val="28"/>
          <w:szCs w:val="28"/>
        </w:rPr>
        <w:t>3</w:t>
      </w:r>
      <w:r w:rsidR="007B2890" w:rsidRPr="007F1A46">
        <w:rPr>
          <w:sz w:val="28"/>
          <w:szCs w:val="28"/>
          <w:vertAlign w:val="superscript"/>
        </w:rPr>
        <w:t>rd</w:t>
      </w:r>
      <w:r w:rsidR="007B2890" w:rsidRPr="007F1A46">
        <w:rPr>
          <w:sz w:val="28"/>
          <w:szCs w:val="28"/>
        </w:rPr>
        <w:t xml:space="preserve"> Floor </w:t>
      </w:r>
      <w:r w:rsidR="00670621" w:rsidRPr="007F1A46">
        <w:rPr>
          <w:sz w:val="28"/>
          <w:szCs w:val="28"/>
        </w:rPr>
        <w:t xml:space="preserve">premises at Spear House situated </w:t>
      </w:r>
      <w:r w:rsidR="00F14C40" w:rsidRPr="007F1A46">
        <w:rPr>
          <w:sz w:val="28"/>
          <w:szCs w:val="28"/>
        </w:rPr>
        <w:t>on lot 12</w:t>
      </w:r>
      <w:r w:rsidR="00670621" w:rsidRPr="007F1A46">
        <w:rPr>
          <w:sz w:val="28"/>
          <w:szCs w:val="28"/>
        </w:rPr>
        <w:t xml:space="preserve"> Jinja Road, Kampala, Uganda </w:t>
      </w:r>
      <w:r w:rsidR="00125874" w:rsidRPr="007F1A46">
        <w:rPr>
          <w:sz w:val="28"/>
          <w:szCs w:val="28"/>
        </w:rPr>
        <w:t>to Nile Bank Ltd</w:t>
      </w:r>
      <w:r w:rsidR="00751D5E" w:rsidRPr="007F1A46">
        <w:rPr>
          <w:sz w:val="28"/>
          <w:szCs w:val="28"/>
        </w:rPr>
        <w:t xml:space="preserve"> on the 21</w:t>
      </w:r>
      <w:r w:rsidR="00751D5E" w:rsidRPr="007F1A46">
        <w:rPr>
          <w:sz w:val="28"/>
          <w:szCs w:val="28"/>
          <w:vertAlign w:val="superscript"/>
        </w:rPr>
        <w:t>st</w:t>
      </w:r>
      <w:r w:rsidR="00751D5E" w:rsidRPr="007F1A46">
        <w:rPr>
          <w:sz w:val="28"/>
          <w:szCs w:val="28"/>
        </w:rPr>
        <w:t xml:space="preserve"> December, 2000</w:t>
      </w:r>
      <w:r w:rsidR="00C477EA" w:rsidRPr="007F1A46">
        <w:rPr>
          <w:sz w:val="28"/>
          <w:szCs w:val="28"/>
        </w:rPr>
        <w:t xml:space="preserve">. This </w:t>
      </w:r>
      <w:r w:rsidR="00751D5E" w:rsidRPr="007F1A46">
        <w:rPr>
          <w:sz w:val="28"/>
          <w:szCs w:val="28"/>
        </w:rPr>
        <w:t xml:space="preserve">activity </w:t>
      </w:r>
      <w:r w:rsidR="00C477EA" w:rsidRPr="007F1A46">
        <w:rPr>
          <w:sz w:val="28"/>
          <w:szCs w:val="28"/>
        </w:rPr>
        <w:t xml:space="preserve">was </w:t>
      </w:r>
      <w:r w:rsidR="00751D5E" w:rsidRPr="007F1A46">
        <w:rPr>
          <w:sz w:val="28"/>
          <w:szCs w:val="28"/>
        </w:rPr>
        <w:t xml:space="preserve">executed through </w:t>
      </w:r>
      <w:r w:rsidR="00C477EA" w:rsidRPr="007F1A46">
        <w:rPr>
          <w:sz w:val="28"/>
          <w:szCs w:val="28"/>
        </w:rPr>
        <w:t xml:space="preserve">a tenancy agreement </w:t>
      </w:r>
      <w:r w:rsidR="000A71D4" w:rsidRPr="007F1A46">
        <w:rPr>
          <w:sz w:val="28"/>
          <w:szCs w:val="28"/>
        </w:rPr>
        <w:t>(</w:t>
      </w:r>
      <w:r w:rsidR="00C75C97" w:rsidRPr="007F1A46">
        <w:rPr>
          <w:sz w:val="28"/>
          <w:szCs w:val="28"/>
        </w:rPr>
        <w:t>Exhibit P.1</w:t>
      </w:r>
      <w:r w:rsidR="00C84C37" w:rsidRPr="007F1A46">
        <w:rPr>
          <w:sz w:val="28"/>
          <w:szCs w:val="28"/>
        </w:rPr>
        <w:t>) which</w:t>
      </w:r>
      <w:r w:rsidR="00C477EA" w:rsidRPr="007F1A46">
        <w:rPr>
          <w:sz w:val="28"/>
          <w:szCs w:val="28"/>
        </w:rPr>
        <w:t xml:space="preserve"> was later renewed on the</w:t>
      </w:r>
      <w:r w:rsidR="00C477EA" w:rsidRPr="007F1A46">
        <w:rPr>
          <w:b/>
          <w:sz w:val="28"/>
          <w:szCs w:val="28"/>
        </w:rPr>
        <w:t xml:space="preserve"> </w:t>
      </w:r>
      <w:r w:rsidR="00C477EA" w:rsidRPr="007F1A46">
        <w:rPr>
          <w:sz w:val="28"/>
          <w:szCs w:val="28"/>
        </w:rPr>
        <w:t>30</w:t>
      </w:r>
      <w:r w:rsidR="00C477EA" w:rsidRPr="007F1A46">
        <w:rPr>
          <w:sz w:val="28"/>
          <w:szCs w:val="28"/>
          <w:vertAlign w:val="superscript"/>
        </w:rPr>
        <w:t>th</w:t>
      </w:r>
      <w:r w:rsidR="00C477EA" w:rsidRPr="007F1A46">
        <w:rPr>
          <w:sz w:val="28"/>
          <w:szCs w:val="28"/>
        </w:rPr>
        <w:t xml:space="preserve"> day of July 2002. </w:t>
      </w:r>
      <w:r w:rsidR="00751D5E" w:rsidRPr="007F1A46">
        <w:rPr>
          <w:sz w:val="28"/>
          <w:szCs w:val="28"/>
        </w:rPr>
        <w:t xml:space="preserve">Nile Bank Ltd was later bought by Barclays Bank (U) Ltd, the instant Defendant. </w:t>
      </w:r>
      <w:r w:rsidR="00C477EA" w:rsidRPr="007F1A46">
        <w:rPr>
          <w:sz w:val="28"/>
          <w:szCs w:val="28"/>
        </w:rPr>
        <w:t xml:space="preserve">The tenancy agreement </w:t>
      </w:r>
      <w:r w:rsidR="00751D5E" w:rsidRPr="007F1A46">
        <w:rPr>
          <w:sz w:val="28"/>
          <w:szCs w:val="28"/>
        </w:rPr>
        <w:t xml:space="preserve">in the </w:t>
      </w:r>
      <w:r w:rsidR="00751D5E" w:rsidRPr="007F1A46">
        <w:rPr>
          <w:sz w:val="28"/>
          <w:szCs w:val="28"/>
        </w:rPr>
        <w:lastRenderedPageBreak/>
        <w:t xml:space="preserve">meantime continued </w:t>
      </w:r>
      <w:r w:rsidR="00C477EA" w:rsidRPr="007F1A46">
        <w:rPr>
          <w:sz w:val="28"/>
          <w:szCs w:val="28"/>
        </w:rPr>
        <w:t>till the</w:t>
      </w:r>
      <w:r w:rsidR="00AE2CFE" w:rsidRPr="007F1A46">
        <w:rPr>
          <w:sz w:val="28"/>
          <w:szCs w:val="28"/>
        </w:rPr>
        <w:t xml:space="preserve"> </w:t>
      </w:r>
      <w:r w:rsidR="00125874" w:rsidRPr="007F1A46">
        <w:rPr>
          <w:sz w:val="28"/>
          <w:szCs w:val="28"/>
        </w:rPr>
        <w:t>26</w:t>
      </w:r>
      <w:r w:rsidR="00125874" w:rsidRPr="007F1A46">
        <w:rPr>
          <w:sz w:val="28"/>
          <w:szCs w:val="28"/>
          <w:vertAlign w:val="superscript"/>
        </w:rPr>
        <w:t>th</w:t>
      </w:r>
      <w:r w:rsidR="00125874" w:rsidRPr="007F1A46">
        <w:rPr>
          <w:sz w:val="28"/>
          <w:szCs w:val="28"/>
        </w:rPr>
        <w:t xml:space="preserve"> </w:t>
      </w:r>
      <w:r w:rsidR="00AE2CFE" w:rsidRPr="007F1A46">
        <w:rPr>
          <w:sz w:val="28"/>
          <w:szCs w:val="28"/>
        </w:rPr>
        <w:t xml:space="preserve">day of </w:t>
      </w:r>
      <w:r w:rsidR="00125874" w:rsidRPr="007F1A46">
        <w:rPr>
          <w:sz w:val="28"/>
          <w:szCs w:val="28"/>
        </w:rPr>
        <w:t>June 2007</w:t>
      </w:r>
      <w:r w:rsidR="00C477EA" w:rsidRPr="007F1A46">
        <w:rPr>
          <w:sz w:val="28"/>
          <w:szCs w:val="28"/>
        </w:rPr>
        <w:t xml:space="preserve"> </w:t>
      </w:r>
      <w:r w:rsidR="00AA161C" w:rsidRPr="007F1A46">
        <w:rPr>
          <w:sz w:val="28"/>
          <w:szCs w:val="28"/>
        </w:rPr>
        <w:t>whereupon and</w:t>
      </w:r>
      <w:r w:rsidR="00751D5E" w:rsidRPr="007F1A46">
        <w:rPr>
          <w:sz w:val="28"/>
          <w:szCs w:val="28"/>
        </w:rPr>
        <w:t xml:space="preserve"> based on t</w:t>
      </w:r>
      <w:r w:rsidR="00AA161C" w:rsidRPr="007F1A46">
        <w:rPr>
          <w:sz w:val="28"/>
          <w:szCs w:val="28"/>
        </w:rPr>
        <w:t>erms of t</w:t>
      </w:r>
      <w:r w:rsidR="00751D5E" w:rsidRPr="007F1A46">
        <w:rPr>
          <w:sz w:val="28"/>
          <w:szCs w:val="28"/>
        </w:rPr>
        <w:t xml:space="preserve">he said tenancy agreement, </w:t>
      </w:r>
      <w:r w:rsidR="00C477EA" w:rsidRPr="007F1A46">
        <w:rPr>
          <w:sz w:val="28"/>
          <w:szCs w:val="28"/>
        </w:rPr>
        <w:t xml:space="preserve">the Plaintiff </w:t>
      </w:r>
      <w:r w:rsidR="00BA3AB2" w:rsidRPr="007F1A46">
        <w:rPr>
          <w:sz w:val="28"/>
          <w:szCs w:val="28"/>
        </w:rPr>
        <w:t>gave the D</w:t>
      </w:r>
      <w:r w:rsidR="00125874" w:rsidRPr="007F1A46">
        <w:rPr>
          <w:sz w:val="28"/>
          <w:szCs w:val="28"/>
        </w:rPr>
        <w:t xml:space="preserve">efendant </w:t>
      </w:r>
      <w:r w:rsidR="00AA161C" w:rsidRPr="007F1A46">
        <w:rPr>
          <w:sz w:val="28"/>
          <w:szCs w:val="28"/>
        </w:rPr>
        <w:t xml:space="preserve">a six (6) month </w:t>
      </w:r>
      <w:r w:rsidR="00BA3AB2" w:rsidRPr="007F1A46">
        <w:rPr>
          <w:sz w:val="28"/>
          <w:szCs w:val="28"/>
        </w:rPr>
        <w:t>n</w:t>
      </w:r>
      <w:r w:rsidR="00125874" w:rsidRPr="007F1A46">
        <w:rPr>
          <w:sz w:val="28"/>
          <w:szCs w:val="28"/>
        </w:rPr>
        <w:t xml:space="preserve">otice of </w:t>
      </w:r>
      <w:r w:rsidR="00AA161C" w:rsidRPr="007F1A46">
        <w:rPr>
          <w:sz w:val="28"/>
          <w:szCs w:val="28"/>
        </w:rPr>
        <w:t xml:space="preserve">its intention to </w:t>
      </w:r>
      <w:r w:rsidR="00125874" w:rsidRPr="007F1A46">
        <w:rPr>
          <w:sz w:val="28"/>
          <w:szCs w:val="28"/>
        </w:rPr>
        <w:t>terminat</w:t>
      </w:r>
      <w:r w:rsidR="00AA161C" w:rsidRPr="007F1A46">
        <w:rPr>
          <w:sz w:val="28"/>
          <w:szCs w:val="28"/>
        </w:rPr>
        <w:t xml:space="preserve">e the </w:t>
      </w:r>
      <w:r w:rsidR="00125874" w:rsidRPr="007F1A46">
        <w:rPr>
          <w:sz w:val="28"/>
          <w:szCs w:val="28"/>
        </w:rPr>
        <w:t xml:space="preserve"> </w:t>
      </w:r>
      <w:r w:rsidR="00AA161C" w:rsidRPr="007F1A46">
        <w:rPr>
          <w:sz w:val="28"/>
          <w:szCs w:val="28"/>
        </w:rPr>
        <w:t xml:space="preserve">said </w:t>
      </w:r>
      <w:r w:rsidR="00125874" w:rsidRPr="007F1A46">
        <w:rPr>
          <w:sz w:val="28"/>
          <w:szCs w:val="28"/>
        </w:rPr>
        <w:t xml:space="preserve">tenancy </w:t>
      </w:r>
      <w:r w:rsidR="00BA3AB2" w:rsidRPr="007F1A46">
        <w:rPr>
          <w:sz w:val="28"/>
          <w:szCs w:val="28"/>
        </w:rPr>
        <w:t xml:space="preserve">agreement </w:t>
      </w:r>
      <w:r w:rsidR="00AA161C" w:rsidRPr="007F1A46">
        <w:rPr>
          <w:sz w:val="28"/>
          <w:szCs w:val="28"/>
        </w:rPr>
        <w:t>which would come into effect</w:t>
      </w:r>
      <w:r w:rsidR="00125874" w:rsidRPr="007F1A46">
        <w:rPr>
          <w:sz w:val="28"/>
          <w:szCs w:val="28"/>
        </w:rPr>
        <w:t xml:space="preserve"> </w:t>
      </w:r>
      <w:r w:rsidR="00BA3AB2" w:rsidRPr="007F1A46">
        <w:rPr>
          <w:sz w:val="28"/>
          <w:szCs w:val="28"/>
        </w:rPr>
        <w:t xml:space="preserve">from the </w:t>
      </w:r>
      <w:r w:rsidR="00125874" w:rsidRPr="007F1A46">
        <w:rPr>
          <w:sz w:val="28"/>
          <w:szCs w:val="28"/>
        </w:rPr>
        <w:t>31</w:t>
      </w:r>
      <w:r w:rsidR="00125874" w:rsidRPr="007F1A46">
        <w:rPr>
          <w:sz w:val="28"/>
          <w:szCs w:val="28"/>
          <w:vertAlign w:val="superscript"/>
        </w:rPr>
        <w:t>st</w:t>
      </w:r>
      <w:r w:rsidR="00125874" w:rsidRPr="007F1A46">
        <w:rPr>
          <w:sz w:val="28"/>
          <w:szCs w:val="28"/>
        </w:rPr>
        <w:t xml:space="preserve"> </w:t>
      </w:r>
      <w:r w:rsidR="00BA3AB2" w:rsidRPr="007F1A46">
        <w:rPr>
          <w:sz w:val="28"/>
          <w:szCs w:val="28"/>
        </w:rPr>
        <w:t xml:space="preserve">day </w:t>
      </w:r>
      <w:r w:rsidR="00125874" w:rsidRPr="007F1A46">
        <w:rPr>
          <w:sz w:val="28"/>
          <w:szCs w:val="28"/>
        </w:rPr>
        <w:t>December</w:t>
      </w:r>
      <w:r w:rsidR="00BA3AB2" w:rsidRPr="007F1A46">
        <w:rPr>
          <w:sz w:val="28"/>
          <w:szCs w:val="28"/>
        </w:rPr>
        <w:t>,</w:t>
      </w:r>
      <w:r w:rsidR="00125874" w:rsidRPr="007F1A46">
        <w:rPr>
          <w:sz w:val="28"/>
          <w:szCs w:val="28"/>
        </w:rPr>
        <w:t xml:space="preserve"> 2007.</w:t>
      </w:r>
      <w:r w:rsidR="00AE2CFE" w:rsidRPr="007F1A46">
        <w:rPr>
          <w:sz w:val="28"/>
          <w:szCs w:val="28"/>
        </w:rPr>
        <w:t xml:space="preserve"> </w:t>
      </w:r>
      <w:r w:rsidR="00AA161C" w:rsidRPr="007F1A46">
        <w:rPr>
          <w:sz w:val="28"/>
          <w:szCs w:val="28"/>
        </w:rPr>
        <w:t>In the meantime,</w:t>
      </w:r>
      <w:r w:rsidR="00BA3AB2" w:rsidRPr="007F1A46">
        <w:rPr>
          <w:sz w:val="28"/>
          <w:szCs w:val="28"/>
        </w:rPr>
        <w:t xml:space="preserve"> during the</w:t>
      </w:r>
      <w:r w:rsidR="00AA161C" w:rsidRPr="007F1A46">
        <w:rPr>
          <w:sz w:val="28"/>
          <w:szCs w:val="28"/>
        </w:rPr>
        <w:t xml:space="preserve"> following</w:t>
      </w:r>
      <w:r w:rsidR="00BA3AB2" w:rsidRPr="007F1A46">
        <w:rPr>
          <w:sz w:val="28"/>
          <w:szCs w:val="28"/>
        </w:rPr>
        <w:t xml:space="preserve"> month of </w:t>
      </w:r>
      <w:r w:rsidR="00623465" w:rsidRPr="007F1A46">
        <w:rPr>
          <w:sz w:val="28"/>
          <w:szCs w:val="28"/>
        </w:rPr>
        <w:t>July</w:t>
      </w:r>
      <w:r w:rsidR="00BA3AB2" w:rsidRPr="007F1A46">
        <w:rPr>
          <w:sz w:val="28"/>
          <w:szCs w:val="28"/>
        </w:rPr>
        <w:t>, 2007</w:t>
      </w:r>
      <w:r w:rsidR="00AA161C" w:rsidRPr="007F1A46">
        <w:rPr>
          <w:sz w:val="28"/>
          <w:szCs w:val="28"/>
        </w:rPr>
        <w:t>,</w:t>
      </w:r>
      <w:r w:rsidR="00BA3AB2" w:rsidRPr="007F1A46">
        <w:rPr>
          <w:sz w:val="28"/>
          <w:szCs w:val="28"/>
        </w:rPr>
        <w:t xml:space="preserve"> </w:t>
      </w:r>
      <w:r w:rsidR="00A121F3" w:rsidRPr="007F1A46">
        <w:rPr>
          <w:sz w:val="28"/>
          <w:szCs w:val="28"/>
        </w:rPr>
        <w:t>Mr. Gordon</w:t>
      </w:r>
      <w:r w:rsidR="00125874" w:rsidRPr="007F1A46">
        <w:rPr>
          <w:sz w:val="28"/>
          <w:szCs w:val="28"/>
        </w:rPr>
        <w:t xml:space="preserve"> </w:t>
      </w:r>
      <w:r w:rsidR="00A121F3" w:rsidRPr="007F1A46">
        <w:rPr>
          <w:sz w:val="28"/>
          <w:szCs w:val="28"/>
        </w:rPr>
        <w:t>Wavamuno</w:t>
      </w:r>
      <w:r w:rsidR="00AA161C" w:rsidRPr="007F1A46">
        <w:rPr>
          <w:sz w:val="28"/>
          <w:szCs w:val="28"/>
        </w:rPr>
        <w:t xml:space="preserve">, the Plaintiff’s Chairman </w:t>
      </w:r>
      <w:r w:rsidR="00125874" w:rsidRPr="007F1A46">
        <w:rPr>
          <w:sz w:val="28"/>
          <w:szCs w:val="28"/>
        </w:rPr>
        <w:t xml:space="preserve"> </w:t>
      </w:r>
      <w:r w:rsidR="00BA3AB2" w:rsidRPr="007F1A46">
        <w:rPr>
          <w:sz w:val="28"/>
          <w:szCs w:val="28"/>
        </w:rPr>
        <w:t>together with Mr.</w:t>
      </w:r>
      <w:r w:rsidR="00AA161C" w:rsidRPr="007F1A46">
        <w:rPr>
          <w:sz w:val="28"/>
          <w:szCs w:val="28"/>
        </w:rPr>
        <w:t xml:space="preserve"> Byarugaba</w:t>
      </w:r>
      <w:r w:rsidR="00BA3AB2" w:rsidRPr="007F1A46">
        <w:rPr>
          <w:sz w:val="28"/>
          <w:szCs w:val="28"/>
        </w:rPr>
        <w:t xml:space="preserve">, the Defendant’s Chief Operations Officer </w:t>
      </w:r>
      <w:r w:rsidR="00125874" w:rsidRPr="007F1A46">
        <w:rPr>
          <w:sz w:val="28"/>
          <w:szCs w:val="28"/>
        </w:rPr>
        <w:t>car</w:t>
      </w:r>
      <w:r w:rsidR="00623465" w:rsidRPr="007F1A46">
        <w:rPr>
          <w:sz w:val="28"/>
          <w:szCs w:val="28"/>
        </w:rPr>
        <w:t>r</w:t>
      </w:r>
      <w:r w:rsidR="00AA161C" w:rsidRPr="007F1A46">
        <w:rPr>
          <w:sz w:val="28"/>
          <w:szCs w:val="28"/>
        </w:rPr>
        <w:t xml:space="preserve">ied </w:t>
      </w:r>
      <w:r w:rsidR="00623465" w:rsidRPr="007F1A46">
        <w:rPr>
          <w:sz w:val="28"/>
          <w:szCs w:val="28"/>
        </w:rPr>
        <w:t xml:space="preserve"> out an inspection of the </w:t>
      </w:r>
      <w:r w:rsidR="00BA3AB2" w:rsidRPr="007F1A46">
        <w:rPr>
          <w:sz w:val="28"/>
          <w:szCs w:val="28"/>
        </w:rPr>
        <w:t xml:space="preserve">suit </w:t>
      </w:r>
      <w:r w:rsidR="00623465" w:rsidRPr="007F1A46">
        <w:rPr>
          <w:sz w:val="28"/>
          <w:szCs w:val="28"/>
        </w:rPr>
        <w:t>prem</w:t>
      </w:r>
      <w:r w:rsidR="00487479" w:rsidRPr="007F1A46">
        <w:rPr>
          <w:sz w:val="28"/>
          <w:szCs w:val="28"/>
        </w:rPr>
        <w:t xml:space="preserve">ises </w:t>
      </w:r>
      <w:r w:rsidR="00125874" w:rsidRPr="007F1A46">
        <w:rPr>
          <w:sz w:val="28"/>
          <w:szCs w:val="28"/>
        </w:rPr>
        <w:t xml:space="preserve">to ascertain </w:t>
      </w:r>
      <w:r w:rsidR="00BA3AB2" w:rsidRPr="007F1A46">
        <w:rPr>
          <w:sz w:val="28"/>
          <w:szCs w:val="28"/>
        </w:rPr>
        <w:t>its</w:t>
      </w:r>
      <w:r w:rsidR="00125874" w:rsidRPr="007F1A46">
        <w:rPr>
          <w:sz w:val="28"/>
          <w:szCs w:val="28"/>
        </w:rPr>
        <w:t xml:space="preserve"> state of repair, </w:t>
      </w:r>
      <w:r w:rsidR="00BA3AB2" w:rsidRPr="007F1A46">
        <w:rPr>
          <w:sz w:val="28"/>
          <w:szCs w:val="28"/>
        </w:rPr>
        <w:t xml:space="preserve">to </w:t>
      </w:r>
      <w:r w:rsidR="00125874" w:rsidRPr="007F1A46">
        <w:rPr>
          <w:sz w:val="28"/>
          <w:szCs w:val="28"/>
        </w:rPr>
        <w:t xml:space="preserve">identity the fixtures and fittings </w:t>
      </w:r>
      <w:r w:rsidR="00BA3AB2" w:rsidRPr="007F1A46">
        <w:rPr>
          <w:sz w:val="28"/>
          <w:szCs w:val="28"/>
        </w:rPr>
        <w:t>which will</w:t>
      </w:r>
      <w:r w:rsidR="00125874" w:rsidRPr="007F1A46">
        <w:rPr>
          <w:sz w:val="28"/>
          <w:szCs w:val="28"/>
        </w:rPr>
        <w:t xml:space="preserve"> </w:t>
      </w:r>
      <w:r w:rsidR="007B2890" w:rsidRPr="007F1A46">
        <w:rPr>
          <w:sz w:val="28"/>
          <w:szCs w:val="28"/>
        </w:rPr>
        <w:t xml:space="preserve">eventually </w:t>
      </w:r>
      <w:r w:rsidR="00125874" w:rsidRPr="007F1A46">
        <w:rPr>
          <w:sz w:val="28"/>
          <w:szCs w:val="28"/>
        </w:rPr>
        <w:t>be</w:t>
      </w:r>
      <w:r w:rsidR="00623465" w:rsidRPr="007F1A46">
        <w:rPr>
          <w:sz w:val="28"/>
          <w:szCs w:val="28"/>
        </w:rPr>
        <w:t xml:space="preserve"> </w:t>
      </w:r>
      <w:r w:rsidR="00125874" w:rsidRPr="007F1A46">
        <w:rPr>
          <w:sz w:val="28"/>
          <w:szCs w:val="28"/>
        </w:rPr>
        <w:t>removed as tenants</w:t>
      </w:r>
      <w:r w:rsidR="00BA3AB2" w:rsidRPr="007F1A46">
        <w:rPr>
          <w:sz w:val="28"/>
          <w:szCs w:val="28"/>
        </w:rPr>
        <w:t xml:space="preserve"> (defendant’s)</w:t>
      </w:r>
      <w:r w:rsidR="00125874" w:rsidRPr="007F1A46">
        <w:rPr>
          <w:sz w:val="28"/>
          <w:szCs w:val="28"/>
        </w:rPr>
        <w:t xml:space="preserve"> fixtures and those to </w:t>
      </w:r>
      <w:r w:rsidR="00B83033" w:rsidRPr="007F1A46">
        <w:rPr>
          <w:sz w:val="28"/>
          <w:szCs w:val="28"/>
        </w:rPr>
        <w:t>that will be</w:t>
      </w:r>
      <w:r w:rsidR="00125874" w:rsidRPr="007F1A46">
        <w:rPr>
          <w:sz w:val="28"/>
          <w:szCs w:val="28"/>
        </w:rPr>
        <w:t xml:space="preserve"> kept or left </w:t>
      </w:r>
      <w:r w:rsidR="00AE2CFE" w:rsidRPr="007F1A46">
        <w:rPr>
          <w:sz w:val="28"/>
          <w:szCs w:val="28"/>
        </w:rPr>
        <w:t>with</w:t>
      </w:r>
      <w:r w:rsidR="00487479" w:rsidRPr="007F1A46">
        <w:rPr>
          <w:sz w:val="28"/>
          <w:szCs w:val="28"/>
        </w:rPr>
        <w:t xml:space="preserve"> </w:t>
      </w:r>
      <w:r w:rsidR="00B83033" w:rsidRPr="007F1A46">
        <w:rPr>
          <w:sz w:val="28"/>
          <w:szCs w:val="28"/>
        </w:rPr>
        <w:t xml:space="preserve">the </w:t>
      </w:r>
      <w:r w:rsidR="00487479" w:rsidRPr="007F1A46">
        <w:rPr>
          <w:sz w:val="28"/>
          <w:szCs w:val="28"/>
        </w:rPr>
        <w:t>landlord</w:t>
      </w:r>
      <w:r w:rsidR="00B83033" w:rsidRPr="007F1A46">
        <w:rPr>
          <w:sz w:val="28"/>
          <w:szCs w:val="28"/>
        </w:rPr>
        <w:t xml:space="preserve"> as its </w:t>
      </w:r>
      <w:r w:rsidR="00487479" w:rsidRPr="007F1A46">
        <w:rPr>
          <w:sz w:val="28"/>
          <w:szCs w:val="28"/>
        </w:rPr>
        <w:t>fixtures</w:t>
      </w:r>
      <w:r w:rsidR="00125874" w:rsidRPr="007F1A46">
        <w:rPr>
          <w:sz w:val="28"/>
          <w:szCs w:val="28"/>
        </w:rPr>
        <w:t xml:space="preserve"> and to </w:t>
      </w:r>
      <w:r w:rsidR="00B83033" w:rsidRPr="007F1A46">
        <w:rPr>
          <w:sz w:val="28"/>
          <w:szCs w:val="28"/>
        </w:rPr>
        <w:t xml:space="preserve">generally </w:t>
      </w:r>
      <w:r w:rsidR="00125874" w:rsidRPr="007F1A46">
        <w:rPr>
          <w:sz w:val="28"/>
          <w:szCs w:val="28"/>
        </w:rPr>
        <w:t>agree on what</w:t>
      </w:r>
      <w:r w:rsidR="00B83033" w:rsidRPr="007F1A46">
        <w:rPr>
          <w:sz w:val="28"/>
          <w:szCs w:val="28"/>
        </w:rPr>
        <w:t xml:space="preserve">ever </w:t>
      </w:r>
      <w:r w:rsidR="00623465" w:rsidRPr="007F1A46">
        <w:rPr>
          <w:sz w:val="28"/>
          <w:szCs w:val="28"/>
        </w:rPr>
        <w:t>repairs</w:t>
      </w:r>
      <w:r w:rsidR="00125874" w:rsidRPr="007F1A46">
        <w:rPr>
          <w:sz w:val="28"/>
          <w:szCs w:val="28"/>
        </w:rPr>
        <w:t xml:space="preserve"> wer</w:t>
      </w:r>
      <w:r w:rsidR="00B83033" w:rsidRPr="007F1A46">
        <w:rPr>
          <w:sz w:val="28"/>
          <w:szCs w:val="28"/>
        </w:rPr>
        <w:t>e to be carried out before the D</w:t>
      </w:r>
      <w:r w:rsidR="00125874" w:rsidRPr="007F1A46">
        <w:rPr>
          <w:sz w:val="28"/>
          <w:szCs w:val="28"/>
        </w:rPr>
        <w:t xml:space="preserve">efendant yielded vacant possession of the </w:t>
      </w:r>
      <w:r w:rsidR="00B83033" w:rsidRPr="007F1A46">
        <w:rPr>
          <w:sz w:val="28"/>
          <w:szCs w:val="28"/>
        </w:rPr>
        <w:t>premises to the P</w:t>
      </w:r>
      <w:r w:rsidR="00623465" w:rsidRPr="007F1A46">
        <w:rPr>
          <w:sz w:val="28"/>
          <w:szCs w:val="28"/>
        </w:rPr>
        <w:t>laintiff.</w:t>
      </w:r>
      <w:r w:rsidR="00322F12" w:rsidRPr="007F1A46">
        <w:rPr>
          <w:sz w:val="28"/>
          <w:szCs w:val="28"/>
        </w:rPr>
        <w:t xml:space="preserve"> </w:t>
      </w:r>
      <w:r w:rsidR="00777DA0" w:rsidRPr="007F1A46">
        <w:rPr>
          <w:sz w:val="28"/>
          <w:szCs w:val="28"/>
        </w:rPr>
        <w:t xml:space="preserve">The tenancy </w:t>
      </w:r>
      <w:r w:rsidR="007B2890" w:rsidRPr="007F1A46">
        <w:rPr>
          <w:sz w:val="28"/>
          <w:szCs w:val="28"/>
        </w:rPr>
        <w:t>thus did eventually co</w:t>
      </w:r>
      <w:r w:rsidR="00777DA0" w:rsidRPr="007F1A46">
        <w:rPr>
          <w:sz w:val="28"/>
          <w:szCs w:val="28"/>
        </w:rPr>
        <w:t xml:space="preserve">me to an end </w:t>
      </w:r>
      <w:r w:rsidR="007B2890" w:rsidRPr="007F1A46">
        <w:rPr>
          <w:sz w:val="28"/>
          <w:szCs w:val="28"/>
        </w:rPr>
        <w:t>by</w:t>
      </w:r>
      <w:r w:rsidR="00777DA0" w:rsidRPr="007F1A46">
        <w:rPr>
          <w:sz w:val="28"/>
          <w:szCs w:val="28"/>
        </w:rPr>
        <w:t xml:space="preserve"> the 19</w:t>
      </w:r>
      <w:r w:rsidR="00777DA0" w:rsidRPr="007F1A46">
        <w:rPr>
          <w:sz w:val="28"/>
          <w:szCs w:val="28"/>
          <w:vertAlign w:val="superscript"/>
        </w:rPr>
        <w:t>th</w:t>
      </w:r>
      <w:r w:rsidR="007B2890" w:rsidRPr="007F1A46">
        <w:rPr>
          <w:sz w:val="28"/>
          <w:szCs w:val="28"/>
        </w:rPr>
        <w:t xml:space="preserve"> February 2008. However, a</w:t>
      </w:r>
      <w:r w:rsidR="00777DA0" w:rsidRPr="007F1A46">
        <w:rPr>
          <w:sz w:val="28"/>
          <w:szCs w:val="28"/>
        </w:rPr>
        <w:t xml:space="preserve"> disput</w:t>
      </w:r>
      <w:r w:rsidR="00487479" w:rsidRPr="007F1A46">
        <w:rPr>
          <w:sz w:val="28"/>
          <w:szCs w:val="28"/>
        </w:rPr>
        <w:t xml:space="preserve">e </w:t>
      </w:r>
      <w:r w:rsidR="007B2890" w:rsidRPr="007F1A46">
        <w:rPr>
          <w:sz w:val="28"/>
          <w:szCs w:val="28"/>
        </w:rPr>
        <w:t>did arise</w:t>
      </w:r>
      <w:r w:rsidR="00487479" w:rsidRPr="007F1A46">
        <w:rPr>
          <w:sz w:val="28"/>
          <w:szCs w:val="28"/>
        </w:rPr>
        <w:t xml:space="preserve"> between the parties</w:t>
      </w:r>
      <w:r w:rsidR="00777DA0" w:rsidRPr="007F1A46">
        <w:rPr>
          <w:sz w:val="28"/>
          <w:szCs w:val="28"/>
        </w:rPr>
        <w:t xml:space="preserve"> as to whether certain </w:t>
      </w:r>
      <w:r w:rsidR="007B2890" w:rsidRPr="007F1A46">
        <w:rPr>
          <w:sz w:val="28"/>
          <w:szCs w:val="28"/>
        </w:rPr>
        <w:t>fixtures</w:t>
      </w:r>
      <w:r w:rsidR="00777DA0" w:rsidRPr="007F1A46">
        <w:rPr>
          <w:sz w:val="28"/>
          <w:szCs w:val="28"/>
        </w:rPr>
        <w:t xml:space="preserve"> which at the expiry of the tenancy were taken over by the succeeding tenant United Bank of Africa (U) Ltd </w:t>
      </w:r>
      <w:r w:rsidR="007B2890" w:rsidRPr="007F1A46">
        <w:rPr>
          <w:sz w:val="28"/>
          <w:szCs w:val="28"/>
        </w:rPr>
        <w:t xml:space="preserve">did belong </w:t>
      </w:r>
      <w:r w:rsidR="000A71D4" w:rsidRPr="007F1A46">
        <w:rPr>
          <w:sz w:val="28"/>
          <w:szCs w:val="28"/>
        </w:rPr>
        <w:t>to Spear House Ltd, the</w:t>
      </w:r>
      <w:r w:rsidR="00777DA0" w:rsidRPr="007F1A46">
        <w:rPr>
          <w:sz w:val="28"/>
          <w:szCs w:val="28"/>
        </w:rPr>
        <w:t xml:space="preserve"> Landlord or </w:t>
      </w:r>
      <w:r w:rsidR="000A71D4" w:rsidRPr="007F1A46">
        <w:rPr>
          <w:sz w:val="28"/>
          <w:szCs w:val="28"/>
        </w:rPr>
        <w:t xml:space="preserve">to Barclays bank (U) Ltd, </w:t>
      </w:r>
      <w:r w:rsidR="00777DA0" w:rsidRPr="007F1A46">
        <w:rPr>
          <w:sz w:val="28"/>
          <w:szCs w:val="28"/>
        </w:rPr>
        <w:t>the tenant.</w:t>
      </w:r>
      <w:r w:rsidR="000A71D4" w:rsidRPr="007F1A46">
        <w:rPr>
          <w:sz w:val="28"/>
          <w:szCs w:val="28"/>
        </w:rPr>
        <w:t xml:space="preserve"> This was because according to the Plaintiff, </w:t>
      </w:r>
      <w:r w:rsidR="00C75C97" w:rsidRPr="007F1A46">
        <w:rPr>
          <w:sz w:val="28"/>
          <w:szCs w:val="28"/>
        </w:rPr>
        <w:t xml:space="preserve">a </w:t>
      </w:r>
      <w:r w:rsidR="00487479" w:rsidRPr="007F1A46">
        <w:rPr>
          <w:sz w:val="28"/>
          <w:szCs w:val="28"/>
        </w:rPr>
        <w:t xml:space="preserve">joint inspection report </w:t>
      </w:r>
      <w:r w:rsidR="000A71D4" w:rsidRPr="007F1A46">
        <w:rPr>
          <w:sz w:val="28"/>
          <w:szCs w:val="28"/>
        </w:rPr>
        <w:t xml:space="preserve">tendered in court as </w:t>
      </w:r>
      <w:r w:rsidR="00C75C97" w:rsidRPr="007F1A46">
        <w:rPr>
          <w:sz w:val="28"/>
          <w:szCs w:val="28"/>
        </w:rPr>
        <w:t>Exhibit P.2</w:t>
      </w:r>
      <w:r w:rsidR="00777DA0" w:rsidRPr="007F1A46">
        <w:rPr>
          <w:sz w:val="28"/>
          <w:szCs w:val="28"/>
        </w:rPr>
        <w:t xml:space="preserve"> </w:t>
      </w:r>
      <w:r w:rsidR="000A71D4" w:rsidRPr="007F1A46">
        <w:rPr>
          <w:sz w:val="28"/>
          <w:szCs w:val="28"/>
        </w:rPr>
        <w:t xml:space="preserve">and </w:t>
      </w:r>
      <w:r w:rsidR="00487479" w:rsidRPr="007F1A46">
        <w:rPr>
          <w:sz w:val="28"/>
          <w:szCs w:val="28"/>
        </w:rPr>
        <w:t xml:space="preserve">which </w:t>
      </w:r>
      <w:r w:rsidR="000A71D4" w:rsidRPr="007F1A46">
        <w:rPr>
          <w:sz w:val="28"/>
          <w:szCs w:val="28"/>
        </w:rPr>
        <w:t>had been  forwarded by the P</w:t>
      </w:r>
      <w:r w:rsidR="00487479" w:rsidRPr="007F1A46">
        <w:rPr>
          <w:sz w:val="28"/>
          <w:szCs w:val="28"/>
        </w:rPr>
        <w:t xml:space="preserve">laintiff in </w:t>
      </w:r>
      <w:r w:rsidR="00C75C97" w:rsidRPr="007F1A46">
        <w:rPr>
          <w:sz w:val="28"/>
          <w:szCs w:val="28"/>
        </w:rPr>
        <w:t>its</w:t>
      </w:r>
      <w:r w:rsidR="00623465" w:rsidRPr="007F1A46">
        <w:rPr>
          <w:sz w:val="28"/>
          <w:szCs w:val="28"/>
        </w:rPr>
        <w:t xml:space="preserve"> letter </w:t>
      </w:r>
      <w:r w:rsidR="00487479" w:rsidRPr="007F1A46">
        <w:rPr>
          <w:sz w:val="28"/>
          <w:szCs w:val="28"/>
        </w:rPr>
        <w:t>dated</w:t>
      </w:r>
      <w:r w:rsidR="00623465" w:rsidRPr="007F1A46">
        <w:rPr>
          <w:sz w:val="28"/>
          <w:szCs w:val="28"/>
        </w:rPr>
        <w:t xml:space="preserve"> </w:t>
      </w:r>
      <w:r w:rsidR="00AE2CFE" w:rsidRPr="007F1A46">
        <w:rPr>
          <w:sz w:val="28"/>
          <w:szCs w:val="28"/>
        </w:rPr>
        <w:t xml:space="preserve">the </w:t>
      </w:r>
      <w:r w:rsidR="00623465" w:rsidRPr="007F1A46">
        <w:rPr>
          <w:sz w:val="28"/>
          <w:szCs w:val="28"/>
        </w:rPr>
        <w:t>10</w:t>
      </w:r>
      <w:r w:rsidR="00623465" w:rsidRPr="007F1A46">
        <w:rPr>
          <w:sz w:val="28"/>
          <w:szCs w:val="28"/>
          <w:vertAlign w:val="superscript"/>
        </w:rPr>
        <w:t>th</w:t>
      </w:r>
      <w:r w:rsidR="00623465" w:rsidRPr="007F1A46">
        <w:rPr>
          <w:sz w:val="28"/>
          <w:szCs w:val="28"/>
        </w:rPr>
        <w:t xml:space="preserve"> </w:t>
      </w:r>
      <w:r w:rsidR="00AE2CFE" w:rsidRPr="007F1A46">
        <w:rPr>
          <w:sz w:val="28"/>
          <w:szCs w:val="28"/>
        </w:rPr>
        <w:t xml:space="preserve">day of </w:t>
      </w:r>
      <w:r w:rsidR="00623465" w:rsidRPr="007F1A46">
        <w:rPr>
          <w:sz w:val="28"/>
          <w:szCs w:val="28"/>
        </w:rPr>
        <w:t>July 2007 t</w:t>
      </w:r>
      <w:r w:rsidR="00C75C97" w:rsidRPr="007F1A46">
        <w:rPr>
          <w:sz w:val="28"/>
          <w:szCs w:val="28"/>
        </w:rPr>
        <w:t>o the D</w:t>
      </w:r>
      <w:r w:rsidR="00354B77" w:rsidRPr="007F1A46">
        <w:rPr>
          <w:sz w:val="28"/>
          <w:szCs w:val="28"/>
        </w:rPr>
        <w:t>efendant Exhibit P2</w:t>
      </w:r>
      <w:r w:rsidR="00C75C97" w:rsidRPr="007F1A46">
        <w:rPr>
          <w:sz w:val="28"/>
          <w:szCs w:val="28"/>
        </w:rPr>
        <w:t xml:space="preserve"> and responded to by </w:t>
      </w:r>
      <w:r w:rsidR="00AE2CFE" w:rsidRPr="007F1A46">
        <w:rPr>
          <w:b/>
          <w:sz w:val="28"/>
          <w:szCs w:val="28"/>
        </w:rPr>
        <w:t xml:space="preserve"> </w:t>
      </w:r>
      <w:r w:rsidR="00C75C97" w:rsidRPr="007F1A46">
        <w:rPr>
          <w:sz w:val="28"/>
          <w:szCs w:val="28"/>
        </w:rPr>
        <w:t>the D</w:t>
      </w:r>
      <w:r w:rsidR="00623465" w:rsidRPr="007F1A46">
        <w:rPr>
          <w:sz w:val="28"/>
          <w:szCs w:val="28"/>
        </w:rPr>
        <w:t xml:space="preserve">efendant in its letter </w:t>
      </w:r>
      <w:r w:rsidR="00C75C97" w:rsidRPr="007F1A46">
        <w:rPr>
          <w:sz w:val="28"/>
          <w:szCs w:val="28"/>
        </w:rPr>
        <w:t>dated the 23</w:t>
      </w:r>
      <w:r w:rsidR="00C75C97" w:rsidRPr="007F1A46">
        <w:rPr>
          <w:sz w:val="28"/>
          <w:szCs w:val="28"/>
          <w:vertAlign w:val="superscript"/>
        </w:rPr>
        <w:t>rd</w:t>
      </w:r>
      <w:r w:rsidR="00C75C97" w:rsidRPr="007F1A46">
        <w:rPr>
          <w:sz w:val="28"/>
          <w:szCs w:val="28"/>
        </w:rPr>
        <w:t xml:space="preserve"> day of August</w:t>
      </w:r>
      <w:r w:rsidR="00C75C97" w:rsidRPr="007F1A46">
        <w:rPr>
          <w:b/>
          <w:sz w:val="28"/>
          <w:szCs w:val="28"/>
        </w:rPr>
        <w:t xml:space="preserve"> </w:t>
      </w:r>
      <w:r w:rsidR="00C75C97" w:rsidRPr="007F1A46">
        <w:rPr>
          <w:sz w:val="28"/>
          <w:szCs w:val="28"/>
        </w:rPr>
        <w:t>2007</w:t>
      </w:r>
      <w:r w:rsidR="00C75C97" w:rsidRPr="007F1A46">
        <w:rPr>
          <w:b/>
          <w:sz w:val="28"/>
          <w:szCs w:val="28"/>
        </w:rPr>
        <w:t xml:space="preserve"> </w:t>
      </w:r>
      <w:r w:rsidR="00C75C97" w:rsidRPr="007F1A46">
        <w:rPr>
          <w:sz w:val="28"/>
          <w:szCs w:val="28"/>
        </w:rPr>
        <w:t>with</w:t>
      </w:r>
      <w:r w:rsidR="00C75C97" w:rsidRPr="007F1A46">
        <w:rPr>
          <w:b/>
          <w:sz w:val="28"/>
          <w:szCs w:val="28"/>
        </w:rPr>
        <w:t xml:space="preserve"> </w:t>
      </w:r>
      <w:r w:rsidR="00C75C97" w:rsidRPr="007F1A46">
        <w:rPr>
          <w:sz w:val="28"/>
          <w:szCs w:val="28"/>
        </w:rPr>
        <w:t>reference of Ref:</w:t>
      </w:r>
      <w:r w:rsidR="00623465" w:rsidRPr="007F1A46">
        <w:rPr>
          <w:sz w:val="28"/>
          <w:szCs w:val="28"/>
        </w:rPr>
        <w:t xml:space="preserve"> BBU/LEGAL/ A.12/07 </w:t>
      </w:r>
      <w:r w:rsidR="00AE2CFE" w:rsidRPr="007F1A46">
        <w:rPr>
          <w:sz w:val="28"/>
          <w:szCs w:val="28"/>
        </w:rPr>
        <w:t>(</w:t>
      </w:r>
      <w:r w:rsidR="00354B77" w:rsidRPr="007F1A46">
        <w:rPr>
          <w:sz w:val="28"/>
          <w:szCs w:val="28"/>
        </w:rPr>
        <w:t>E</w:t>
      </w:r>
      <w:r w:rsidR="00AE2CFE" w:rsidRPr="007F1A46">
        <w:rPr>
          <w:sz w:val="28"/>
          <w:szCs w:val="28"/>
        </w:rPr>
        <w:t>xhibit Y)</w:t>
      </w:r>
      <w:r w:rsidR="00623465" w:rsidRPr="007F1A46">
        <w:rPr>
          <w:sz w:val="28"/>
          <w:szCs w:val="28"/>
        </w:rPr>
        <w:t xml:space="preserve"> </w:t>
      </w:r>
      <w:r w:rsidR="00C75C97" w:rsidRPr="007F1A46">
        <w:rPr>
          <w:sz w:val="28"/>
          <w:szCs w:val="28"/>
        </w:rPr>
        <w:t xml:space="preserve">, the parties had </w:t>
      </w:r>
      <w:r w:rsidR="00623465" w:rsidRPr="007F1A46">
        <w:rPr>
          <w:sz w:val="28"/>
          <w:szCs w:val="28"/>
        </w:rPr>
        <w:t>agreed to the</w:t>
      </w:r>
      <w:r w:rsidR="00AE2CFE" w:rsidRPr="007F1A46">
        <w:rPr>
          <w:sz w:val="28"/>
          <w:szCs w:val="28"/>
        </w:rPr>
        <w:t xml:space="preserve"> identified </w:t>
      </w:r>
      <w:r w:rsidR="00AE2CFE" w:rsidRPr="007F1A46">
        <w:rPr>
          <w:sz w:val="28"/>
          <w:szCs w:val="28"/>
        </w:rPr>
        <w:lastRenderedPageBreak/>
        <w:t>fixtures mentioned in</w:t>
      </w:r>
      <w:r w:rsidR="00623465" w:rsidRPr="007F1A46">
        <w:rPr>
          <w:sz w:val="28"/>
          <w:szCs w:val="28"/>
        </w:rPr>
        <w:t xml:space="preserve"> the repo</w:t>
      </w:r>
      <w:r w:rsidR="00487479" w:rsidRPr="007F1A46">
        <w:rPr>
          <w:sz w:val="28"/>
          <w:szCs w:val="28"/>
        </w:rPr>
        <w:t>rt including movables to be left to the l</w:t>
      </w:r>
      <w:r w:rsidR="0021544D" w:rsidRPr="007F1A46">
        <w:rPr>
          <w:sz w:val="28"/>
          <w:szCs w:val="28"/>
        </w:rPr>
        <w:t xml:space="preserve">andlord </w:t>
      </w:r>
      <w:r w:rsidR="00381501" w:rsidRPr="007F1A46">
        <w:rPr>
          <w:sz w:val="28"/>
          <w:szCs w:val="28"/>
        </w:rPr>
        <w:t>its</w:t>
      </w:r>
      <w:r w:rsidR="0021544D" w:rsidRPr="007F1A46">
        <w:rPr>
          <w:sz w:val="28"/>
          <w:szCs w:val="28"/>
        </w:rPr>
        <w:t xml:space="preserve"> fixture</w:t>
      </w:r>
      <w:r w:rsidR="00487479" w:rsidRPr="007F1A46">
        <w:rPr>
          <w:sz w:val="28"/>
          <w:szCs w:val="28"/>
        </w:rPr>
        <w:t>s</w:t>
      </w:r>
      <w:r w:rsidR="00381501" w:rsidRPr="007F1A46">
        <w:rPr>
          <w:sz w:val="28"/>
          <w:szCs w:val="28"/>
        </w:rPr>
        <w:t xml:space="preserve">. That these items were </w:t>
      </w:r>
      <w:r w:rsidR="00487479" w:rsidRPr="007F1A46">
        <w:rPr>
          <w:sz w:val="28"/>
          <w:szCs w:val="28"/>
        </w:rPr>
        <w:t xml:space="preserve">confirmed </w:t>
      </w:r>
      <w:r w:rsidR="00381501" w:rsidRPr="007F1A46">
        <w:rPr>
          <w:sz w:val="28"/>
          <w:szCs w:val="28"/>
        </w:rPr>
        <w:t xml:space="preserve">as seen </w:t>
      </w:r>
      <w:r w:rsidR="00C84C37" w:rsidRPr="007F1A46">
        <w:rPr>
          <w:sz w:val="28"/>
          <w:szCs w:val="28"/>
        </w:rPr>
        <w:t>in Exhibit</w:t>
      </w:r>
      <w:r w:rsidR="00354B77" w:rsidRPr="007F1A46">
        <w:rPr>
          <w:sz w:val="28"/>
          <w:szCs w:val="28"/>
        </w:rPr>
        <w:t xml:space="preserve"> </w:t>
      </w:r>
      <w:r w:rsidR="0021544D" w:rsidRPr="007F1A46">
        <w:rPr>
          <w:sz w:val="28"/>
          <w:szCs w:val="28"/>
        </w:rPr>
        <w:t xml:space="preserve">B1 and also by </w:t>
      </w:r>
      <w:r w:rsidR="00381501" w:rsidRPr="007F1A46">
        <w:rPr>
          <w:sz w:val="28"/>
          <w:szCs w:val="28"/>
        </w:rPr>
        <w:t>Richard Byarugaba who testified in court as DW1.</w:t>
      </w:r>
      <w:r w:rsidR="00322F12" w:rsidRPr="007F1A46">
        <w:rPr>
          <w:sz w:val="28"/>
          <w:szCs w:val="28"/>
        </w:rPr>
        <w:t xml:space="preserve"> </w:t>
      </w:r>
      <w:r w:rsidR="00381501" w:rsidRPr="007F1A46">
        <w:rPr>
          <w:sz w:val="28"/>
          <w:szCs w:val="28"/>
        </w:rPr>
        <w:t xml:space="preserve">Therefore , according to the plaintiff </w:t>
      </w:r>
      <w:r w:rsidR="00487479" w:rsidRPr="007F1A46">
        <w:rPr>
          <w:sz w:val="28"/>
          <w:szCs w:val="28"/>
        </w:rPr>
        <w:t xml:space="preserve"> </w:t>
      </w:r>
      <w:r w:rsidR="00381501" w:rsidRPr="007F1A46">
        <w:rPr>
          <w:sz w:val="28"/>
          <w:szCs w:val="28"/>
        </w:rPr>
        <w:t>confirmations</w:t>
      </w:r>
      <w:r w:rsidR="00487479" w:rsidRPr="007F1A46">
        <w:rPr>
          <w:sz w:val="28"/>
          <w:szCs w:val="28"/>
        </w:rPr>
        <w:t xml:space="preserve"> </w:t>
      </w:r>
      <w:r w:rsidR="00381501" w:rsidRPr="007F1A46">
        <w:rPr>
          <w:sz w:val="28"/>
          <w:szCs w:val="28"/>
        </w:rPr>
        <w:t xml:space="preserve">amended in </w:t>
      </w:r>
      <w:r w:rsidR="00381501" w:rsidRPr="007F1A46">
        <w:rPr>
          <w:i/>
          <w:sz w:val="28"/>
          <w:szCs w:val="28"/>
        </w:rPr>
        <w:t>pari materia</w:t>
      </w:r>
      <w:r w:rsidR="00381501" w:rsidRPr="007F1A46">
        <w:rPr>
          <w:sz w:val="28"/>
          <w:szCs w:val="28"/>
        </w:rPr>
        <w:t xml:space="preserve"> </w:t>
      </w:r>
      <w:r w:rsidR="00487479" w:rsidRPr="007F1A46">
        <w:rPr>
          <w:sz w:val="28"/>
          <w:szCs w:val="28"/>
        </w:rPr>
        <w:t>C</w:t>
      </w:r>
      <w:r w:rsidR="0021544D" w:rsidRPr="007F1A46">
        <w:rPr>
          <w:sz w:val="28"/>
          <w:szCs w:val="28"/>
        </w:rPr>
        <w:t xml:space="preserve">lause 4.4 of the tenancy agreement </w:t>
      </w:r>
      <w:r w:rsidR="00487479" w:rsidRPr="007F1A46">
        <w:rPr>
          <w:sz w:val="28"/>
          <w:szCs w:val="28"/>
        </w:rPr>
        <w:t xml:space="preserve">thus </w:t>
      </w:r>
      <w:r w:rsidR="00602AA2" w:rsidRPr="007F1A46">
        <w:rPr>
          <w:sz w:val="28"/>
          <w:szCs w:val="28"/>
        </w:rPr>
        <w:t xml:space="preserve">transferred the indicate </w:t>
      </w:r>
      <w:r w:rsidR="00487479" w:rsidRPr="007F1A46">
        <w:rPr>
          <w:sz w:val="28"/>
          <w:szCs w:val="28"/>
        </w:rPr>
        <w:t xml:space="preserve">the </w:t>
      </w:r>
      <w:r w:rsidR="00602AA2" w:rsidRPr="007F1A46">
        <w:rPr>
          <w:sz w:val="28"/>
          <w:szCs w:val="28"/>
        </w:rPr>
        <w:t xml:space="preserve">Defendants </w:t>
      </w:r>
      <w:r w:rsidR="00487479" w:rsidRPr="007F1A46">
        <w:rPr>
          <w:sz w:val="28"/>
          <w:szCs w:val="28"/>
        </w:rPr>
        <w:t xml:space="preserve">chattels to </w:t>
      </w:r>
      <w:r w:rsidR="00602AA2" w:rsidRPr="007F1A46">
        <w:rPr>
          <w:sz w:val="28"/>
          <w:szCs w:val="28"/>
        </w:rPr>
        <w:t>it</w:t>
      </w:r>
      <w:r w:rsidR="00487479" w:rsidRPr="007F1A46">
        <w:rPr>
          <w:sz w:val="28"/>
          <w:szCs w:val="28"/>
        </w:rPr>
        <w:t xml:space="preserve"> but </w:t>
      </w:r>
      <w:r w:rsidR="00602AA2" w:rsidRPr="007F1A46">
        <w:rPr>
          <w:sz w:val="28"/>
          <w:szCs w:val="28"/>
        </w:rPr>
        <w:t>the D</w:t>
      </w:r>
      <w:r w:rsidR="00AE2CFE" w:rsidRPr="007F1A46">
        <w:rPr>
          <w:sz w:val="28"/>
          <w:szCs w:val="28"/>
        </w:rPr>
        <w:t>efendant</w:t>
      </w:r>
      <w:r w:rsidR="0021544D" w:rsidRPr="007F1A46">
        <w:rPr>
          <w:sz w:val="28"/>
          <w:szCs w:val="28"/>
        </w:rPr>
        <w:t xml:space="preserve"> in </w:t>
      </w:r>
      <w:r w:rsidR="00602AA2" w:rsidRPr="007F1A46">
        <w:rPr>
          <w:sz w:val="28"/>
          <w:szCs w:val="28"/>
        </w:rPr>
        <w:t xml:space="preserve">total </w:t>
      </w:r>
      <w:r w:rsidR="0021544D" w:rsidRPr="007F1A46">
        <w:rPr>
          <w:sz w:val="28"/>
          <w:szCs w:val="28"/>
        </w:rPr>
        <w:t>breach of th</w:t>
      </w:r>
      <w:r w:rsidR="00602AA2" w:rsidRPr="007F1A46">
        <w:rPr>
          <w:sz w:val="28"/>
          <w:szCs w:val="28"/>
        </w:rPr>
        <w:t>o</w:t>
      </w:r>
      <w:r w:rsidR="00487479" w:rsidRPr="007F1A46">
        <w:rPr>
          <w:sz w:val="28"/>
          <w:szCs w:val="28"/>
        </w:rPr>
        <w:t xml:space="preserve">se </w:t>
      </w:r>
      <w:r w:rsidR="00602AA2" w:rsidRPr="007F1A46">
        <w:rPr>
          <w:sz w:val="28"/>
          <w:szCs w:val="28"/>
        </w:rPr>
        <w:t xml:space="preserve">amendments to </w:t>
      </w:r>
      <w:r w:rsidR="00487479" w:rsidRPr="007F1A46">
        <w:rPr>
          <w:sz w:val="28"/>
          <w:szCs w:val="28"/>
        </w:rPr>
        <w:t xml:space="preserve"> the</w:t>
      </w:r>
      <w:r w:rsidR="0021544D" w:rsidRPr="007F1A46">
        <w:rPr>
          <w:sz w:val="28"/>
          <w:szCs w:val="28"/>
        </w:rPr>
        <w:t xml:space="preserve"> </w:t>
      </w:r>
      <w:r w:rsidR="00602AA2" w:rsidRPr="007F1A46">
        <w:rPr>
          <w:sz w:val="28"/>
          <w:szCs w:val="28"/>
        </w:rPr>
        <w:t xml:space="preserve">terms of the tenancy </w:t>
      </w:r>
      <w:r w:rsidR="0021544D" w:rsidRPr="007F1A46">
        <w:rPr>
          <w:sz w:val="28"/>
          <w:szCs w:val="28"/>
        </w:rPr>
        <w:t xml:space="preserve">agreement </w:t>
      </w:r>
      <w:r w:rsidR="00487479" w:rsidRPr="007F1A46">
        <w:rPr>
          <w:sz w:val="28"/>
          <w:szCs w:val="28"/>
        </w:rPr>
        <w:t>decided to sell</w:t>
      </w:r>
      <w:r w:rsidR="0021544D" w:rsidRPr="007F1A46">
        <w:rPr>
          <w:sz w:val="28"/>
          <w:szCs w:val="28"/>
        </w:rPr>
        <w:t xml:space="preserve"> th</w:t>
      </w:r>
      <w:r w:rsidR="00487479" w:rsidRPr="007F1A46">
        <w:rPr>
          <w:sz w:val="28"/>
          <w:szCs w:val="28"/>
        </w:rPr>
        <w:t>os</w:t>
      </w:r>
      <w:r w:rsidR="0021544D" w:rsidRPr="007F1A46">
        <w:rPr>
          <w:sz w:val="28"/>
          <w:szCs w:val="28"/>
        </w:rPr>
        <w:t xml:space="preserve">e </w:t>
      </w:r>
      <w:r w:rsidR="00487479" w:rsidRPr="007F1A46">
        <w:rPr>
          <w:sz w:val="28"/>
          <w:szCs w:val="28"/>
        </w:rPr>
        <w:t>transferred tenant</w:t>
      </w:r>
      <w:r w:rsidR="00267D81" w:rsidRPr="007F1A46">
        <w:rPr>
          <w:sz w:val="28"/>
          <w:szCs w:val="28"/>
        </w:rPr>
        <w:t xml:space="preserve">’s chattels </w:t>
      </w:r>
      <w:r w:rsidR="0021544D" w:rsidRPr="007F1A46">
        <w:rPr>
          <w:sz w:val="28"/>
          <w:szCs w:val="28"/>
        </w:rPr>
        <w:t>to United Bank of Africa</w:t>
      </w:r>
      <w:r w:rsidR="008959D4" w:rsidRPr="007F1A46">
        <w:rPr>
          <w:sz w:val="28"/>
          <w:szCs w:val="28"/>
        </w:rPr>
        <w:t xml:space="preserve"> in addition to </w:t>
      </w:r>
      <w:r w:rsidR="00E329A9" w:rsidRPr="007F1A46">
        <w:rPr>
          <w:sz w:val="28"/>
          <w:szCs w:val="28"/>
        </w:rPr>
        <w:t xml:space="preserve">it </w:t>
      </w:r>
      <w:r w:rsidR="0021544D" w:rsidRPr="007F1A46">
        <w:rPr>
          <w:sz w:val="28"/>
          <w:szCs w:val="28"/>
        </w:rPr>
        <w:t>neglect</w:t>
      </w:r>
      <w:r w:rsidR="008959D4" w:rsidRPr="007F1A46">
        <w:rPr>
          <w:sz w:val="28"/>
          <w:szCs w:val="28"/>
        </w:rPr>
        <w:t xml:space="preserve">ing </w:t>
      </w:r>
      <w:r w:rsidR="0021544D" w:rsidRPr="007F1A46">
        <w:rPr>
          <w:sz w:val="28"/>
          <w:szCs w:val="28"/>
        </w:rPr>
        <w:t>settle utility bills</w:t>
      </w:r>
      <w:r w:rsidR="008959D4" w:rsidRPr="007F1A46">
        <w:rPr>
          <w:sz w:val="28"/>
          <w:szCs w:val="28"/>
        </w:rPr>
        <w:t xml:space="preserve"> incurred but was forced to do so only </w:t>
      </w:r>
      <w:r w:rsidR="0021544D" w:rsidRPr="007F1A46">
        <w:rPr>
          <w:sz w:val="28"/>
          <w:szCs w:val="28"/>
        </w:rPr>
        <w:t xml:space="preserve">after being </w:t>
      </w:r>
      <w:r w:rsidR="00E329A9" w:rsidRPr="007F1A46">
        <w:rPr>
          <w:sz w:val="28"/>
          <w:szCs w:val="28"/>
        </w:rPr>
        <w:t>reminded</w:t>
      </w:r>
      <w:r w:rsidR="0021544D" w:rsidRPr="007F1A46">
        <w:rPr>
          <w:sz w:val="28"/>
          <w:szCs w:val="28"/>
        </w:rPr>
        <w:t xml:space="preserve"> </w:t>
      </w:r>
      <w:r w:rsidR="00F752D0" w:rsidRPr="007F1A46">
        <w:rPr>
          <w:sz w:val="28"/>
          <w:szCs w:val="28"/>
        </w:rPr>
        <w:t xml:space="preserve">of its obligations to do so </w:t>
      </w:r>
      <w:r w:rsidR="0021544D" w:rsidRPr="007F1A46">
        <w:rPr>
          <w:sz w:val="28"/>
          <w:szCs w:val="28"/>
        </w:rPr>
        <w:t xml:space="preserve">by the </w:t>
      </w:r>
      <w:r w:rsidR="00F752D0" w:rsidRPr="007F1A46">
        <w:rPr>
          <w:sz w:val="28"/>
          <w:szCs w:val="28"/>
        </w:rPr>
        <w:t xml:space="preserve">Plaintiff’s </w:t>
      </w:r>
      <w:r w:rsidR="0021544D" w:rsidRPr="007F1A46">
        <w:rPr>
          <w:sz w:val="28"/>
          <w:szCs w:val="28"/>
        </w:rPr>
        <w:t>lawyers</w:t>
      </w:r>
      <w:r w:rsidR="00F752D0" w:rsidRPr="007F1A46">
        <w:rPr>
          <w:sz w:val="28"/>
          <w:szCs w:val="28"/>
        </w:rPr>
        <w:t xml:space="preserve"> resulting in of the Plaintiff  incurring as legal fees the sum of </w:t>
      </w:r>
      <w:r w:rsidR="00AE2CFE" w:rsidRPr="007F1A46">
        <w:rPr>
          <w:sz w:val="28"/>
          <w:szCs w:val="28"/>
        </w:rPr>
        <w:t xml:space="preserve"> </w:t>
      </w:r>
      <w:r w:rsidR="0021544D" w:rsidRPr="007F1A46">
        <w:rPr>
          <w:sz w:val="28"/>
          <w:szCs w:val="28"/>
        </w:rPr>
        <w:t xml:space="preserve"> </w:t>
      </w:r>
      <w:r w:rsidR="00F752D0" w:rsidRPr="007F1A46">
        <w:rPr>
          <w:sz w:val="28"/>
          <w:szCs w:val="28"/>
        </w:rPr>
        <w:t>Uganda S</w:t>
      </w:r>
      <w:r w:rsidR="00AE2CFE" w:rsidRPr="007F1A46">
        <w:rPr>
          <w:sz w:val="28"/>
          <w:szCs w:val="28"/>
        </w:rPr>
        <w:t xml:space="preserve">hillings Three Million Seventy Two Thousand only </w:t>
      </w:r>
      <w:r w:rsidR="0021544D" w:rsidRPr="007F1A46">
        <w:rPr>
          <w:sz w:val="28"/>
          <w:szCs w:val="28"/>
        </w:rPr>
        <w:t>(</w:t>
      </w:r>
      <w:r w:rsidR="00AE2CFE" w:rsidRPr="007F1A46">
        <w:rPr>
          <w:sz w:val="28"/>
          <w:szCs w:val="28"/>
        </w:rPr>
        <w:t>Ug. Shs. 3,072, 000/=</w:t>
      </w:r>
      <w:r w:rsidR="0021544D" w:rsidRPr="007F1A46">
        <w:rPr>
          <w:sz w:val="28"/>
          <w:szCs w:val="28"/>
        </w:rPr>
        <w:t xml:space="preserve">) </w:t>
      </w:r>
      <w:r w:rsidR="00F752D0" w:rsidRPr="007F1A46">
        <w:rPr>
          <w:sz w:val="28"/>
          <w:szCs w:val="28"/>
        </w:rPr>
        <w:t xml:space="preserve">for the instruction it gave to M/s Kalenge, Bwanika, Kimuli &amp; Co. Advocates </w:t>
      </w:r>
      <w:r w:rsidR="00F6638B" w:rsidRPr="007F1A46">
        <w:rPr>
          <w:sz w:val="28"/>
          <w:szCs w:val="28"/>
        </w:rPr>
        <w:t xml:space="preserve">in </w:t>
      </w:r>
      <w:r w:rsidR="0021544D" w:rsidRPr="007F1A46">
        <w:rPr>
          <w:sz w:val="28"/>
          <w:szCs w:val="28"/>
        </w:rPr>
        <w:t xml:space="preserve"> pursu</w:t>
      </w:r>
      <w:r w:rsidR="00F6638B" w:rsidRPr="007F1A46">
        <w:rPr>
          <w:sz w:val="28"/>
          <w:szCs w:val="28"/>
        </w:rPr>
        <w:t xml:space="preserve">it of </w:t>
      </w:r>
      <w:r w:rsidR="0021544D" w:rsidRPr="007F1A46">
        <w:rPr>
          <w:sz w:val="28"/>
          <w:szCs w:val="28"/>
        </w:rPr>
        <w:t xml:space="preserve">the </w:t>
      </w:r>
      <w:r w:rsidR="00967993" w:rsidRPr="007F1A46">
        <w:rPr>
          <w:sz w:val="28"/>
          <w:szCs w:val="28"/>
        </w:rPr>
        <w:t xml:space="preserve">utility </w:t>
      </w:r>
      <w:r w:rsidR="00626472" w:rsidRPr="007F1A46">
        <w:rPr>
          <w:sz w:val="28"/>
          <w:szCs w:val="28"/>
        </w:rPr>
        <w:t xml:space="preserve">costs </w:t>
      </w:r>
      <w:r w:rsidR="00F6638B" w:rsidRPr="007F1A46">
        <w:rPr>
          <w:sz w:val="28"/>
          <w:szCs w:val="28"/>
        </w:rPr>
        <w:t>payments. The D</w:t>
      </w:r>
      <w:r w:rsidR="00967993" w:rsidRPr="007F1A46">
        <w:rPr>
          <w:sz w:val="28"/>
          <w:szCs w:val="28"/>
        </w:rPr>
        <w:t xml:space="preserve">efendant refused </w:t>
      </w:r>
      <w:r w:rsidR="00626472" w:rsidRPr="007F1A46">
        <w:rPr>
          <w:sz w:val="28"/>
          <w:szCs w:val="28"/>
        </w:rPr>
        <w:t>to settle the plaintiff’s claim</w:t>
      </w:r>
      <w:r w:rsidR="00967993" w:rsidRPr="007F1A46">
        <w:rPr>
          <w:sz w:val="28"/>
          <w:szCs w:val="28"/>
        </w:rPr>
        <w:t xml:space="preserve"> </w:t>
      </w:r>
      <w:r w:rsidR="00F6638B" w:rsidRPr="007F1A46">
        <w:rPr>
          <w:sz w:val="28"/>
          <w:szCs w:val="28"/>
        </w:rPr>
        <w:t xml:space="preserve">on </w:t>
      </w:r>
      <w:r w:rsidR="0053362F" w:rsidRPr="007F1A46">
        <w:rPr>
          <w:sz w:val="28"/>
          <w:szCs w:val="28"/>
        </w:rPr>
        <w:t>conten</w:t>
      </w:r>
      <w:r w:rsidR="00F6638B" w:rsidRPr="007F1A46">
        <w:rPr>
          <w:sz w:val="28"/>
          <w:szCs w:val="28"/>
        </w:rPr>
        <w:t xml:space="preserve">tion </w:t>
      </w:r>
      <w:r w:rsidR="0053362F" w:rsidRPr="007F1A46">
        <w:rPr>
          <w:sz w:val="28"/>
          <w:szCs w:val="28"/>
        </w:rPr>
        <w:t>that</w:t>
      </w:r>
      <w:r w:rsidR="00967993" w:rsidRPr="007F1A46">
        <w:rPr>
          <w:sz w:val="28"/>
          <w:szCs w:val="28"/>
        </w:rPr>
        <w:t xml:space="preserve"> </w:t>
      </w:r>
      <w:r w:rsidR="00626472" w:rsidRPr="007F1A46">
        <w:rPr>
          <w:sz w:val="28"/>
          <w:szCs w:val="28"/>
        </w:rPr>
        <w:t xml:space="preserve">no </w:t>
      </w:r>
      <w:r w:rsidR="00F6638B" w:rsidRPr="007F1A46">
        <w:rPr>
          <w:sz w:val="28"/>
          <w:szCs w:val="28"/>
        </w:rPr>
        <w:t xml:space="preserve">legal variation  in the tenancy </w:t>
      </w:r>
      <w:r w:rsidR="00967993" w:rsidRPr="007F1A46">
        <w:rPr>
          <w:sz w:val="28"/>
          <w:szCs w:val="28"/>
        </w:rPr>
        <w:t>agree</w:t>
      </w:r>
      <w:r w:rsidR="00626472" w:rsidRPr="007F1A46">
        <w:rPr>
          <w:sz w:val="28"/>
          <w:szCs w:val="28"/>
        </w:rPr>
        <w:t>ment</w:t>
      </w:r>
      <w:r w:rsidR="00967993" w:rsidRPr="007F1A46">
        <w:rPr>
          <w:sz w:val="28"/>
          <w:szCs w:val="28"/>
        </w:rPr>
        <w:t xml:space="preserve"> </w:t>
      </w:r>
      <w:r w:rsidR="00F6638B" w:rsidRPr="007F1A46">
        <w:rPr>
          <w:sz w:val="28"/>
          <w:szCs w:val="28"/>
        </w:rPr>
        <w:t xml:space="preserve">terms had been made to </w:t>
      </w:r>
      <w:r w:rsidR="00967993" w:rsidRPr="007F1A46">
        <w:rPr>
          <w:sz w:val="28"/>
          <w:szCs w:val="28"/>
        </w:rPr>
        <w:t xml:space="preserve"> have </w:t>
      </w:r>
      <w:r w:rsidR="00F6638B" w:rsidRPr="007F1A46">
        <w:rPr>
          <w:sz w:val="28"/>
          <w:szCs w:val="28"/>
        </w:rPr>
        <w:t>its</w:t>
      </w:r>
      <w:r w:rsidR="00967993" w:rsidRPr="007F1A46">
        <w:rPr>
          <w:sz w:val="28"/>
          <w:szCs w:val="28"/>
        </w:rPr>
        <w:t xml:space="preserve"> </w:t>
      </w:r>
      <w:r w:rsidR="00626472" w:rsidRPr="007F1A46">
        <w:rPr>
          <w:sz w:val="28"/>
          <w:szCs w:val="28"/>
        </w:rPr>
        <w:t xml:space="preserve">chattels transferred </w:t>
      </w:r>
      <w:r w:rsidR="00F6638B" w:rsidRPr="007F1A46">
        <w:rPr>
          <w:sz w:val="28"/>
          <w:szCs w:val="28"/>
        </w:rPr>
        <w:t xml:space="preserve">to the Plaintiff </w:t>
      </w:r>
      <w:r w:rsidR="00626472" w:rsidRPr="007F1A46">
        <w:rPr>
          <w:sz w:val="28"/>
          <w:szCs w:val="28"/>
        </w:rPr>
        <w:t>a</w:t>
      </w:r>
      <w:r w:rsidR="00FC4B25" w:rsidRPr="007F1A46">
        <w:rPr>
          <w:sz w:val="28"/>
          <w:szCs w:val="28"/>
        </w:rPr>
        <w:t>t</w:t>
      </w:r>
      <w:r w:rsidR="00626472" w:rsidRPr="007F1A46">
        <w:rPr>
          <w:sz w:val="28"/>
          <w:szCs w:val="28"/>
        </w:rPr>
        <w:t xml:space="preserve"> the end of the tenancy</w:t>
      </w:r>
      <w:r w:rsidR="00FC4B25" w:rsidRPr="007F1A46">
        <w:rPr>
          <w:sz w:val="28"/>
          <w:szCs w:val="28"/>
        </w:rPr>
        <w:t xml:space="preserve"> period </w:t>
      </w:r>
      <w:r w:rsidR="00626472" w:rsidRPr="007F1A46">
        <w:rPr>
          <w:sz w:val="28"/>
          <w:szCs w:val="28"/>
        </w:rPr>
        <w:t xml:space="preserve">to </w:t>
      </w:r>
      <w:r w:rsidR="00967993" w:rsidRPr="007F1A46">
        <w:rPr>
          <w:sz w:val="28"/>
          <w:szCs w:val="28"/>
        </w:rPr>
        <w:t xml:space="preserve">the </w:t>
      </w:r>
      <w:r w:rsidR="00FC4B25" w:rsidRPr="007F1A46">
        <w:rPr>
          <w:sz w:val="28"/>
          <w:szCs w:val="28"/>
        </w:rPr>
        <w:t>P</w:t>
      </w:r>
      <w:r w:rsidR="00626472" w:rsidRPr="007F1A46">
        <w:rPr>
          <w:sz w:val="28"/>
          <w:szCs w:val="28"/>
        </w:rPr>
        <w:t xml:space="preserve">laintiff and that it </w:t>
      </w:r>
      <w:r w:rsidR="00FC4B25" w:rsidRPr="007F1A46">
        <w:rPr>
          <w:sz w:val="28"/>
          <w:szCs w:val="28"/>
        </w:rPr>
        <w:t xml:space="preserve">had even </w:t>
      </w:r>
      <w:r w:rsidR="00626472" w:rsidRPr="007F1A46">
        <w:rPr>
          <w:sz w:val="28"/>
          <w:szCs w:val="28"/>
        </w:rPr>
        <w:t>settled</w:t>
      </w:r>
      <w:r w:rsidR="00967993" w:rsidRPr="007F1A46">
        <w:rPr>
          <w:sz w:val="28"/>
          <w:szCs w:val="28"/>
        </w:rPr>
        <w:t xml:space="preserve"> </w:t>
      </w:r>
      <w:r w:rsidR="0053362F" w:rsidRPr="007F1A46">
        <w:rPr>
          <w:sz w:val="28"/>
          <w:szCs w:val="28"/>
        </w:rPr>
        <w:t xml:space="preserve">its utility bills </w:t>
      </w:r>
      <w:r w:rsidR="00FC4B25" w:rsidRPr="007F1A46">
        <w:rPr>
          <w:sz w:val="28"/>
          <w:szCs w:val="28"/>
        </w:rPr>
        <w:t xml:space="preserve">eventually and so could not be responsible to meet </w:t>
      </w:r>
      <w:r w:rsidR="00967993" w:rsidRPr="007F1A46">
        <w:rPr>
          <w:sz w:val="28"/>
          <w:szCs w:val="28"/>
        </w:rPr>
        <w:t xml:space="preserve"> </w:t>
      </w:r>
      <w:r w:rsidR="00FC4B25" w:rsidRPr="007F1A46">
        <w:rPr>
          <w:sz w:val="28"/>
          <w:szCs w:val="28"/>
        </w:rPr>
        <w:t xml:space="preserve">the </w:t>
      </w:r>
      <w:r w:rsidR="00967993" w:rsidRPr="007F1A46">
        <w:rPr>
          <w:sz w:val="28"/>
          <w:szCs w:val="28"/>
        </w:rPr>
        <w:t xml:space="preserve">legal fees </w:t>
      </w:r>
      <w:r w:rsidR="00FC4B25" w:rsidRPr="007F1A46">
        <w:rPr>
          <w:sz w:val="28"/>
          <w:szCs w:val="28"/>
        </w:rPr>
        <w:t>the P</w:t>
      </w:r>
      <w:r w:rsidR="00967993" w:rsidRPr="007F1A46">
        <w:rPr>
          <w:sz w:val="28"/>
          <w:szCs w:val="28"/>
        </w:rPr>
        <w:t xml:space="preserve">laintiff </w:t>
      </w:r>
      <w:r w:rsidR="00FC4B25" w:rsidRPr="007F1A46">
        <w:rPr>
          <w:sz w:val="28"/>
          <w:szCs w:val="28"/>
        </w:rPr>
        <w:t xml:space="preserve">incurred in instructing </w:t>
      </w:r>
      <w:r w:rsidR="00967993" w:rsidRPr="007F1A46">
        <w:rPr>
          <w:sz w:val="28"/>
          <w:szCs w:val="28"/>
        </w:rPr>
        <w:t xml:space="preserve">its </w:t>
      </w:r>
      <w:r w:rsidR="00FC4B25" w:rsidRPr="007F1A46">
        <w:rPr>
          <w:sz w:val="28"/>
          <w:szCs w:val="28"/>
        </w:rPr>
        <w:t xml:space="preserve">own </w:t>
      </w:r>
      <w:r w:rsidR="00967993" w:rsidRPr="007F1A46">
        <w:rPr>
          <w:sz w:val="28"/>
          <w:szCs w:val="28"/>
        </w:rPr>
        <w:t>lawyers</w:t>
      </w:r>
      <w:r w:rsidR="00626472" w:rsidRPr="007F1A46">
        <w:rPr>
          <w:sz w:val="28"/>
          <w:szCs w:val="28"/>
        </w:rPr>
        <w:t xml:space="preserve"> </w:t>
      </w:r>
      <w:r w:rsidR="00FC4B25" w:rsidRPr="007F1A46">
        <w:rPr>
          <w:sz w:val="28"/>
          <w:szCs w:val="28"/>
        </w:rPr>
        <w:t xml:space="preserve">for even </w:t>
      </w:r>
      <w:r w:rsidR="00626472" w:rsidRPr="007F1A46">
        <w:rPr>
          <w:sz w:val="28"/>
          <w:szCs w:val="28"/>
        </w:rPr>
        <w:t>those fees were</w:t>
      </w:r>
      <w:r w:rsidR="00FC4B25" w:rsidRPr="007F1A46">
        <w:rPr>
          <w:sz w:val="28"/>
          <w:szCs w:val="28"/>
        </w:rPr>
        <w:t xml:space="preserve"> </w:t>
      </w:r>
      <w:r w:rsidR="00626472" w:rsidRPr="007F1A46">
        <w:rPr>
          <w:sz w:val="28"/>
          <w:szCs w:val="28"/>
        </w:rPr>
        <w:t xml:space="preserve">incurred by the plaintiff during its normal engagement with its </w:t>
      </w:r>
      <w:r w:rsidR="00621758" w:rsidRPr="007F1A46">
        <w:rPr>
          <w:sz w:val="28"/>
          <w:szCs w:val="28"/>
        </w:rPr>
        <w:t>lawyers. The</w:t>
      </w:r>
      <w:r w:rsidR="00323F20" w:rsidRPr="007F1A46">
        <w:rPr>
          <w:sz w:val="28"/>
          <w:szCs w:val="28"/>
        </w:rPr>
        <w:t xml:space="preserve"> disagreement between the parties </w:t>
      </w:r>
      <w:r w:rsidR="00026DCA" w:rsidRPr="007F1A46">
        <w:rPr>
          <w:sz w:val="28"/>
          <w:szCs w:val="28"/>
        </w:rPr>
        <w:t xml:space="preserve">thus </w:t>
      </w:r>
      <w:r w:rsidR="00323F20" w:rsidRPr="007F1A46">
        <w:rPr>
          <w:sz w:val="28"/>
          <w:szCs w:val="28"/>
        </w:rPr>
        <w:t>led to this</w:t>
      </w:r>
      <w:r w:rsidR="00026DCA" w:rsidRPr="007F1A46">
        <w:rPr>
          <w:sz w:val="28"/>
          <w:szCs w:val="28"/>
        </w:rPr>
        <w:t xml:space="preserve"> instant </w:t>
      </w:r>
      <w:r w:rsidR="00323F20" w:rsidRPr="007F1A46">
        <w:rPr>
          <w:sz w:val="28"/>
          <w:szCs w:val="28"/>
        </w:rPr>
        <w:t>suit.</w:t>
      </w:r>
    </w:p>
    <w:p w:rsidR="008C1976" w:rsidRPr="007F1A46" w:rsidRDefault="008C1976" w:rsidP="00C84C37">
      <w:pPr>
        <w:pStyle w:val="ListParagraph"/>
        <w:numPr>
          <w:ilvl w:val="0"/>
          <w:numId w:val="12"/>
        </w:numPr>
        <w:spacing w:line="480" w:lineRule="auto"/>
        <w:jc w:val="both"/>
        <w:rPr>
          <w:b/>
          <w:sz w:val="28"/>
          <w:szCs w:val="28"/>
          <w:u w:val="single"/>
        </w:rPr>
      </w:pPr>
      <w:r w:rsidRPr="007F1A46">
        <w:rPr>
          <w:b/>
          <w:sz w:val="28"/>
          <w:szCs w:val="28"/>
          <w:u w:val="single"/>
        </w:rPr>
        <w:lastRenderedPageBreak/>
        <w:t>Issues:</w:t>
      </w:r>
    </w:p>
    <w:p w:rsidR="00C84C37" w:rsidRPr="007F1A46" w:rsidRDefault="00C84C37" w:rsidP="00C84C37">
      <w:pPr>
        <w:spacing w:line="480" w:lineRule="auto"/>
        <w:jc w:val="both"/>
        <w:rPr>
          <w:sz w:val="28"/>
          <w:szCs w:val="28"/>
        </w:rPr>
      </w:pPr>
      <w:r w:rsidRPr="007F1A46">
        <w:rPr>
          <w:sz w:val="28"/>
          <w:szCs w:val="28"/>
        </w:rPr>
        <w:t>The issues framed for resolution of this matter were as follows.</w:t>
      </w:r>
    </w:p>
    <w:p w:rsidR="008C1976" w:rsidRPr="007F1A46" w:rsidRDefault="008C1976" w:rsidP="00323F20">
      <w:pPr>
        <w:pStyle w:val="ListParagraph"/>
        <w:numPr>
          <w:ilvl w:val="0"/>
          <w:numId w:val="11"/>
        </w:numPr>
        <w:spacing w:line="480" w:lineRule="auto"/>
        <w:jc w:val="both"/>
        <w:rPr>
          <w:sz w:val="28"/>
          <w:szCs w:val="28"/>
        </w:rPr>
      </w:pPr>
      <w:r w:rsidRPr="007F1A46">
        <w:rPr>
          <w:sz w:val="28"/>
          <w:szCs w:val="28"/>
        </w:rPr>
        <w:t>Whether the items listed in the plaintiff’s Memo dated the 13</w:t>
      </w:r>
      <w:r w:rsidRPr="007F1A46">
        <w:rPr>
          <w:sz w:val="28"/>
          <w:szCs w:val="28"/>
          <w:vertAlign w:val="superscript"/>
        </w:rPr>
        <w:t>th</w:t>
      </w:r>
      <w:r w:rsidRPr="007F1A46">
        <w:rPr>
          <w:sz w:val="28"/>
          <w:szCs w:val="28"/>
        </w:rPr>
        <w:t xml:space="preserve"> March 2008 were property of the Landlord or of the tenant.</w:t>
      </w:r>
    </w:p>
    <w:p w:rsidR="008C1976" w:rsidRPr="007F1A46" w:rsidRDefault="008C1976" w:rsidP="00323F20">
      <w:pPr>
        <w:pStyle w:val="ListParagraph"/>
        <w:numPr>
          <w:ilvl w:val="0"/>
          <w:numId w:val="11"/>
        </w:numPr>
        <w:spacing w:line="480" w:lineRule="auto"/>
        <w:jc w:val="both"/>
        <w:rPr>
          <w:sz w:val="28"/>
          <w:szCs w:val="28"/>
        </w:rPr>
      </w:pPr>
      <w:r w:rsidRPr="007F1A46">
        <w:rPr>
          <w:sz w:val="28"/>
          <w:szCs w:val="28"/>
        </w:rPr>
        <w:t>Remedies</w:t>
      </w:r>
      <w:r w:rsidR="0063044A" w:rsidRPr="007F1A46">
        <w:rPr>
          <w:sz w:val="28"/>
          <w:szCs w:val="28"/>
        </w:rPr>
        <w:t>.</w:t>
      </w:r>
    </w:p>
    <w:p w:rsidR="00323F20" w:rsidRPr="007F1A46" w:rsidRDefault="00323F20" w:rsidP="00C84C37">
      <w:pPr>
        <w:pStyle w:val="ListParagraph"/>
        <w:numPr>
          <w:ilvl w:val="0"/>
          <w:numId w:val="12"/>
        </w:numPr>
        <w:spacing w:line="480" w:lineRule="auto"/>
        <w:jc w:val="both"/>
        <w:rPr>
          <w:b/>
          <w:sz w:val="28"/>
          <w:szCs w:val="28"/>
          <w:u w:val="single"/>
        </w:rPr>
      </w:pPr>
      <w:r w:rsidRPr="007F1A46">
        <w:rPr>
          <w:b/>
          <w:sz w:val="28"/>
          <w:szCs w:val="28"/>
          <w:u w:val="single"/>
        </w:rPr>
        <w:t>Evidence:</w:t>
      </w:r>
    </w:p>
    <w:p w:rsidR="00751AD5" w:rsidRPr="007F1A46" w:rsidRDefault="009B3242" w:rsidP="00AF5FE0">
      <w:pPr>
        <w:spacing w:line="480" w:lineRule="auto"/>
        <w:jc w:val="both"/>
        <w:rPr>
          <w:sz w:val="28"/>
          <w:szCs w:val="28"/>
        </w:rPr>
      </w:pPr>
      <w:r w:rsidRPr="007F1A46">
        <w:rPr>
          <w:sz w:val="28"/>
          <w:szCs w:val="28"/>
        </w:rPr>
        <w:t>To prove its case against the Defendant, the P</w:t>
      </w:r>
      <w:r w:rsidR="008C1976" w:rsidRPr="007F1A46">
        <w:rPr>
          <w:sz w:val="28"/>
          <w:szCs w:val="28"/>
        </w:rPr>
        <w:t xml:space="preserve">laintiff called one (1) witness </w:t>
      </w:r>
      <w:r w:rsidR="00323F20" w:rsidRPr="007F1A46">
        <w:rPr>
          <w:sz w:val="28"/>
          <w:szCs w:val="28"/>
        </w:rPr>
        <w:t>Mr</w:t>
      </w:r>
      <w:r w:rsidR="008C1976" w:rsidRPr="007F1A46">
        <w:rPr>
          <w:sz w:val="28"/>
          <w:szCs w:val="28"/>
        </w:rPr>
        <w:t>. G</w:t>
      </w:r>
      <w:r w:rsidR="00D93F42" w:rsidRPr="007F1A46">
        <w:rPr>
          <w:sz w:val="28"/>
          <w:szCs w:val="28"/>
        </w:rPr>
        <w:t xml:space="preserve">ordon Babala Kasibante </w:t>
      </w:r>
      <w:r w:rsidR="00DD1E45" w:rsidRPr="007F1A46">
        <w:rPr>
          <w:sz w:val="28"/>
          <w:szCs w:val="28"/>
        </w:rPr>
        <w:t>Wavamuno,</w:t>
      </w:r>
      <w:r w:rsidR="00323F20" w:rsidRPr="007F1A46">
        <w:rPr>
          <w:sz w:val="28"/>
          <w:szCs w:val="28"/>
        </w:rPr>
        <w:t xml:space="preserve"> </w:t>
      </w:r>
      <w:r w:rsidR="00DD1E45" w:rsidRPr="007F1A46">
        <w:rPr>
          <w:sz w:val="28"/>
          <w:szCs w:val="28"/>
        </w:rPr>
        <w:t>its Managing</w:t>
      </w:r>
      <w:r w:rsidR="00D93F42" w:rsidRPr="007F1A46">
        <w:rPr>
          <w:sz w:val="28"/>
          <w:szCs w:val="28"/>
        </w:rPr>
        <w:t xml:space="preserve"> Director</w:t>
      </w:r>
      <w:r w:rsidR="008C1976" w:rsidRPr="007F1A46">
        <w:rPr>
          <w:sz w:val="28"/>
          <w:szCs w:val="28"/>
        </w:rPr>
        <w:t xml:space="preserve"> </w:t>
      </w:r>
      <w:r w:rsidRPr="007F1A46">
        <w:rPr>
          <w:sz w:val="28"/>
          <w:szCs w:val="28"/>
        </w:rPr>
        <w:t xml:space="preserve">(PW1) whose </w:t>
      </w:r>
      <w:r w:rsidR="00D93F42" w:rsidRPr="007F1A46">
        <w:rPr>
          <w:sz w:val="28"/>
          <w:szCs w:val="28"/>
        </w:rPr>
        <w:t xml:space="preserve">testimony was </w:t>
      </w:r>
      <w:r w:rsidR="001377E6" w:rsidRPr="007F1A46">
        <w:rPr>
          <w:sz w:val="28"/>
          <w:szCs w:val="28"/>
        </w:rPr>
        <w:t xml:space="preserve">received in main via </w:t>
      </w:r>
      <w:r w:rsidR="00D93F42" w:rsidRPr="007F1A46">
        <w:rPr>
          <w:sz w:val="28"/>
          <w:szCs w:val="28"/>
        </w:rPr>
        <w:t>a sworn</w:t>
      </w:r>
      <w:r w:rsidR="008C1976" w:rsidRPr="007F1A46">
        <w:rPr>
          <w:sz w:val="28"/>
          <w:szCs w:val="28"/>
        </w:rPr>
        <w:t xml:space="preserve"> </w:t>
      </w:r>
      <w:r w:rsidR="00D93F42" w:rsidRPr="007F1A46">
        <w:rPr>
          <w:sz w:val="28"/>
          <w:szCs w:val="28"/>
        </w:rPr>
        <w:t xml:space="preserve">witness statement </w:t>
      </w:r>
      <w:r w:rsidR="00DD1E45" w:rsidRPr="007F1A46">
        <w:rPr>
          <w:sz w:val="28"/>
          <w:szCs w:val="28"/>
        </w:rPr>
        <w:t>and</w:t>
      </w:r>
      <w:r w:rsidR="00D93F42" w:rsidRPr="007F1A46">
        <w:rPr>
          <w:sz w:val="28"/>
          <w:szCs w:val="28"/>
        </w:rPr>
        <w:t xml:space="preserve"> </w:t>
      </w:r>
      <w:r w:rsidR="001377E6" w:rsidRPr="007F1A46">
        <w:rPr>
          <w:sz w:val="28"/>
          <w:szCs w:val="28"/>
        </w:rPr>
        <w:t xml:space="preserve">was </w:t>
      </w:r>
      <w:r w:rsidR="008C1976" w:rsidRPr="007F1A46">
        <w:rPr>
          <w:sz w:val="28"/>
          <w:szCs w:val="28"/>
        </w:rPr>
        <w:t xml:space="preserve">examined </w:t>
      </w:r>
      <w:r w:rsidR="00D93F42" w:rsidRPr="007F1A46">
        <w:rPr>
          <w:sz w:val="28"/>
          <w:szCs w:val="28"/>
        </w:rPr>
        <w:t>accordingly</w:t>
      </w:r>
      <w:r w:rsidR="001377E6" w:rsidRPr="007F1A46">
        <w:rPr>
          <w:sz w:val="28"/>
          <w:szCs w:val="28"/>
        </w:rPr>
        <w:t xml:space="preserve">. The witness </w:t>
      </w:r>
      <w:r w:rsidRPr="007F1A46">
        <w:rPr>
          <w:sz w:val="28"/>
          <w:szCs w:val="28"/>
        </w:rPr>
        <w:t xml:space="preserve">also tendered in evidence documents. </w:t>
      </w:r>
      <w:r w:rsidR="001377E6" w:rsidRPr="007F1A46">
        <w:rPr>
          <w:sz w:val="28"/>
          <w:szCs w:val="28"/>
        </w:rPr>
        <w:t>The D</w:t>
      </w:r>
      <w:r w:rsidR="008C1976" w:rsidRPr="007F1A46">
        <w:rPr>
          <w:sz w:val="28"/>
          <w:szCs w:val="28"/>
        </w:rPr>
        <w:t xml:space="preserve">efendant on its part called two (2) </w:t>
      </w:r>
      <w:r w:rsidR="001377E6" w:rsidRPr="007F1A46">
        <w:rPr>
          <w:sz w:val="28"/>
          <w:szCs w:val="28"/>
        </w:rPr>
        <w:t xml:space="preserve">witnesses; </w:t>
      </w:r>
      <w:r w:rsidR="00DD1E45" w:rsidRPr="007F1A46">
        <w:rPr>
          <w:sz w:val="28"/>
          <w:szCs w:val="28"/>
        </w:rPr>
        <w:t>Mr</w:t>
      </w:r>
      <w:r w:rsidR="008C1976" w:rsidRPr="007F1A46">
        <w:rPr>
          <w:sz w:val="28"/>
          <w:szCs w:val="28"/>
        </w:rPr>
        <w:t xml:space="preserve">. Richard Patrick Byarugaba </w:t>
      </w:r>
      <w:r w:rsidR="00DD1E45" w:rsidRPr="007F1A46">
        <w:rPr>
          <w:sz w:val="28"/>
          <w:szCs w:val="28"/>
        </w:rPr>
        <w:t>(</w:t>
      </w:r>
      <w:r w:rsidR="008C1976" w:rsidRPr="007F1A46">
        <w:rPr>
          <w:sz w:val="28"/>
          <w:szCs w:val="28"/>
        </w:rPr>
        <w:t>DW1</w:t>
      </w:r>
      <w:r w:rsidR="00DD1E45" w:rsidRPr="007F1A46">
        <w:rPr>
          <w:sz w:val="28"/>
          <w:szCs w:val="28"/>
        </w:rPr>
        <w:t>)</w:t>
      </w:r>
      <w:r w:rsidRPr="007F1A46">
        <w:rPr>
          <w:sz w:val="28"/>
          <w:szCs w:val="28"/>
        </w:rPr>
        <w:t xml:space="preserve">, its former Chief Operations </w:t>
      </w:r>
      <w:r w:rsidR="00751AD5" w:rsidRPr="007F1A46">
        <w:rPr>
          <w:sz w:val="28"/>
          <w:szCs w:val="28"/>
        </w:rPr>
        <w:t>Officer and</w:t>
      </w:r>
      <w:r w:rsidR="008C1976" w:rsidRPr="007F1A46">
        <w:rPr>
          <w:sz w:val="28"/>
          <w:szCs w:val="28"/>
        </w:rPr>
        <w:t xml:space="preserve"> Mr. Eric Lok</w:t>
      </w:r>
      <w:r w:rsidR="00D93F42" w:rsidRPr="007F1A46">
        <w:rPr>
          <w:sz w:val="28"/>
          <w:szCs w:val="28"/>
        </w:rPr>
        <w:t>o</w:t>
      </w:r>
      <w:r w:rsidR="00DD1E45" w:rsidRPr="007F1A46">
        <w:rPr>
          <w:sz w:val="28"/>
          <w:szCs w:val="28"/>
        </w:rPr>
        <w:t>long (DW2</w:t>
      </w:r>
      <w:r w:rsidR="00751AD5" w:rsidRPr="007F1A46">
        <w:rPr>
          <w:sz w:val="28"/>
          <w:szCs w:val="28"/>
        </w:rPr>
        <w:t>)</w:t>
      </w:r>
      <w:r w:rsidR="001377E6" w:rsidRPr="007F1A46">
        <w:rPr>
          <w:sz w:val="28"/>
          <w:szCs w:val="28"/>
        </w:rPr>
        <w:t>;</w:t>
      </w:r>
      <w:r w:rsidR="00751AD5" w:rsidRPr="007F1A46">
        <w:rPr>
          <w:sz w:val="28"/>
          <w:szCs w:val="28"/>
        </w:rPr>
        <w:t xml:space="preserve"> </w:t>
      </w:r>
      <w:r w:rsidR="001377E6" w:rsidRPr="007F1A46">
        <w:rPr>
          <w:sz w:val="28"/>
          <w:szCs w:val="28"/>
        </w:rPr>
        <w:t>its</w:t>
      </w:r>
      <w:r w:rsidR="00DD1E45" w:rsidRPr="007F1A46">
        <w:rPr>
          <w:sz w:val="28"/>
          <w:szCs w:val="28"/>
        </w:rPr>
        <w:t xml:space="preserve"> l</w:t>
      </w:r>
      <w:r w:rsidR="008C1976" w:rsidRPr="007F1A46">
        <w:rPr>
          <w:sz w:val="28"/>
          <w:szCs w:val="28"/>
        </w:rPr>
        <w:t>egal counsel. The</w:t>
      </w:r>
      <w:r w:rsidR="001377E6" w:rsidRPr="007F1A46">
        <w:rPr>
          <w:sz w:val="28"/>
          <w:szCs w:val="28"/>
        </w:rPr>
        <w:t xml:space="preserve">ir </w:t>
      </w:r>
      <w:r w:rsidR="00751AD5" w:rsidRPr="007F1A46">
        <w:rPr>
          <w:sz w:val="28"/>
          <w:szCs w:val="28"/>
        </w:rPr>
        <w:t xml:space="preserve">testimonies were </w:t>
      </w:r>
      <w:r w:rsidR="00DD1E45" w:rsidRPr="007F1A46">
        <w:rPr>
          <w:sz w:val="28"/>
          <w:szCs w:val="28"/>
        </w:rPr>
        <w:t xml:space="preserve">orally </w:t>
      </w:r>
      <w:r w:rsidR="00751AD5" w:rsidRPr="007F1A46">
        <w:rPr>
          <w:sz w:val="28"/>
          <w:szCs w:val="28"/>
        </w:rPr>
        <w:t>received</w:t>
      </w:r>
      <w:r w:rsidR="00DD1E45" w:rsidRPr="007F1A46">
        <w:rPr>
          <w:sz w:val="28"/>
          <w:szCs w:val="28"/>
        </w:rPr>
        <w:t xml:space="preserve"> in court and they</w:t>
      </w:r>
      <w:r w:rsidR="008C1976" w:rsidRPr="007F1A46">
        <w:rPr>
          <w:sz w:val="28"/>
          <w:szCs w:val="28"/>
        </w:rPr>
        <w:t xml:space="preserve"> were cross examined and re examined</w:t>
      </w:r>
      <w:r w:rsidR="00D93F42" w:rsidRPr="007F1A46">
        <w:rPr>
          <w:sz w:val="28"/>
          <w:szCs w:val="28"/>
        </w:rPr>
        <w:t xml:space="preserve"> accordingly</w:t>
      </w:r>
      <w:r w:rsidR="00E23DA4" w:rsidRPr="007F1A46">
        <w:rPr>
          <w:sz w:val="28"/>
          <w:szCs w:val="28"/>
        </w:rPr>
        <w:t xml:space="preserve">, who also tendered in </w:t>
      </w:r>
      <w:r w:rsidR="00063F64" w:rsidRPr="007F1A46">
        <w:rPr>
          <w:sz w:val="28"/>
          <w:szCs w:val="28"/>
        </w:rPr>
        <w:t>court documents</w:t>
      </w:r>
      <w:r w:rsidR="00E23DA4" w:rsidRPr="007F1A46">
        <w:rPr>
          <w:sz w:val="28"/>
          <w:szCs w:val="28"/>
        </w:rPr>
        <w:t xml:space="preserve"> to support the defence case.</w:t>
      </w:r>
    </w:p>
    <w:p w:rsidR="0063044A" w:rsidRPr="007F1A46" w:rsidRDefault="00063F64" w:rsidP="004F5155">
      <w:pPr>
        <w:spacing w:line="480" w:lineRule="auto"/>
        <w:jc w:val="both"/>
        <w:rPr>
          <w:sz w:val="28"/>
          <w:szCs w:val="28"/>
        </w:rPr>
      </w:pPr>
      <w:r w:rsidRPr="007F1A46">
        <w:rPr>
          <w:sz w:val="28"/>
          <w:szCs w:val="28"/>
        </w:rPr>
        <w:t>Learned counsels representing the p</w:t>
      </w:r>
      <w:r w:rsidR="00751AD5" w:rsidRPr="007F1A46">
        <w:rPr>
          <w:sz w:val="28"/>
          <w:szCs w:val="28"/>
        </w:rPr>
        <w:t xml:space="preserve">arties </w:t>
      </w:r>
      <w:r w:rsidRPr="007F1A46">
        <w:rPr>
          <w:sz w:val="28"/>
          <w:szCs w:val="28"/>
        </w:rPr>
        <w:t xml:space="preserve">thereafter </w:t>
      </w:r>
      <w:r w:rsidR="00751AD5" w:rsidRPr="007F1A46">
        <w:rPr>
          <w:sz w:val="28"/>
          <w:szCs w:val="28"/>
        </w:rPr>
        <w:t xml:space="preserve">presented written </w:t>
      </w:r>
      <w:r w:rsidR="00A26091" w:rsidRPr="007F1A46">
        <w:rPr>
          <w:sz w:val="28"/>
          <w:szCs w:val="28"/>
        </w:rPr>
        <w:t xml:space="preserve">final </w:t>
      </w:r>
      <w:r w:rsidR="00E23DA4" w:rsidRPr="007F1A46">
        <w:rPr>
          <w:sz w:val="28"/>
          <w:szCs w:val="28"/>
        </w:rPr>
        <w:t>submissions w</w:t>
      </w:r>
      <w:r w:rsidRPr="007F1A46">
        <w:rPr>
          <w:sz w:val="28"/>
          <w:szCs w:val="28"/>
        </w:rPr>
        <w:t xml:space="preserve">hich are on record. Of note, however, was </w:t>
      </w:r>
      <w:r w:rsidR="003341E6" w:rsidRPr="007F1A46">
        <w:rPr>
          <w:sz w:val="28"/>
          <w:szCs w:val="28"/>
        </w:rPr>
        <w:t>learned counsel for the Plaintiff</w:t>
      </w:r>
      <w:r w:rsidRPr="007F1A46">
        <w:rPr>
          <w:sz w:val="28"/>
          <w:szCs w:val="28"/>
        </w:rPr>
        <w:t xml:space="preserve">’s submission </w:t>
      </w:r>
      <w:r w:rsidR="003341E6" w:rsidRPr="007F1A46">
        <w:rPr>
          <w:sz w:val="28"/>
          <w:szCs w:val="28"/>
        </w:rPr>
        <w:t xml:space="preserve">that this honourable court </w:t>
      </w:r>
      <w:r w:rsidRPr="007F1A46">
        <w:rPr>
          <w:sz w:val="28"/>
          <w:szCs w:val="28"/>
        </w:rPr>
        <w:t xml:space="preserve">while assessing the evidence of witnesses should ignore that </w:t>
      </w:r>
      <w:r w:rsidR="004F5155" w:rsidRPr="007F1A46">
        <w:rPr>
          <w:sz w:val="28"/>
          <w:szCs w:val="28"/>
        </w:rPr>
        <w:t>of DW2</w:t>
      </w:r>
      <w:r w:rsidR="003341E6" w:rsidRPr="007F1A46">
        <w:rPr>
          <w:sz w:val="28"/>
          <w:szCs w:val="28"/>
        </w:rPr>
        <w:t xml:space="preserve"> </w:t>
      </w:r>
      <w:r w:rsidR="0055735D" w:rsidRPr="007F1A46">
        <w:rPr>
          <w:sz w:val="28"/>
          <w:szCs w:val="28"/>
        </w:rPr>
        <w:t>as</w:t>
      </w:r>
      <w:r w:rsidR="00DD1E45" w:rsidRPr="007F1A46">
        <w:rPr>
          <w:sz w:val="28"/>
          <w:szCs w:val="28"/>
        </w:rPr>
        <w:t xml:space="preserve"> </w:t>
      </w:r>
      <w:r w:rsidR="004F5155" w:rsidRPr="007F1A46">
        <w:rPr>
          <w:sz w:val="28"/>
          <w:szCs w:val="28"/>
        </w:rPr>
        <w:t xml:space="preserve">it was </w:t>
      </w:r>
      <w:r w:rsidR="00DD1E45" w:rsidRPr="007F1A46">
        <w:rPr>
          <w:sz w:val="28"/>
          <w:szCs w:val="28"/>
        </w:rPr>
        <w:t xml:space="preserve">hearsay </w:t>
      </w:r>
      <w:r w:rsidR="004F5155" w:rsidRPr="007F1A46">
        <w:rPr>
          <w:sz w:val="28"/>
          <w:szCs w:val="28"/>
        </w:rPr>
        <w:t>for</w:t>
      </w:r>
      <w:r w:rsidR="00DD1E45" w:rsidRPr="007F1A46">
        <w:rPr>
          <w:sz w:val="28"/>
          <w:szCs w:val="28"/>
        </w:rPr>
        <w:t xml:space="preserve"> </w:t>
      </w:r>
      <w:r w:rsidR="008C1976" w:rsidRPr="007F1A46">
        <w:rPr>
          <w:sz w:val="28"/>
          <w:szCs w:val="28"/>
        </w:rPr>
        <w:t>he was not personally involved in the transactions relevant to this suit.</w:t>
      </w:r>
      <w:r w:rsidR="00A26091" w:rsidRPr="007F1A46">
        <w:rPr>
          <w:sz w:val="28"/>
          <w:szCs w:val="28"/>
        </w:rPr>
        <w:t xml:space="preserve"> Th</w:t>
      </w:r>
      <w:r w:rsidR="004F5155" w:rsidRPr="007F1A46">
        <w:rPr>
          <w:sz w:val="28"/>
          <w:szCs w:val="28"/>
        </w:rPr>
        <w:t>e</w:t>
      </w:r>
      <w:r w:rsidR="0055735D" w:rsidRPr="007F1A46">
        <w:rPr>
          <w:sz w:val="28"/>
          <w:szCs w:val="28"/>
        </w:rPr>
        <w:t xml:space="preserve"> </w:t>
      </w:r>
      <w:r w:rsidR="004F5155" w:rsidRPr="007F1A46">
        <w:rPr>
          <w:sz w:val="28"/>
          <w:szCs w:val="28"/>
        </w:rPr>
        <w:t xml:space="preserve">learned counsel for the </w:t>
      </w:r>
      <w:r w:rsidR="00A26091" w:rsidRPr="007F1A46">
        <w:rPr>
          <w:sz w:val="28"/>
          <w:szCs w:val="28"/>
        </w:rPr>
        <w:lastRenderedPageBreak/>
        <w:t xml:space="preserve">defence countered </w:t>
      </w:r>
      <w:r w:rsidR="004F5155" w:rsidRPr="007F1A46">
        <w:rPr>
          <w:sz w:val="28"/>
          <w:szCs w:val="28"/>
        </w:rPr>
        <w:t>o</w:t>
      </w:r>
      <w:r w:rsidR="00DD1E45" w:rsidRPr="007F1A46">
        <w:rPr>
          <w:sz w:val="28"/>
          <w:szCs w:val="28"/>
        </w:rPr>
        <w:t>th</w:t>
      </w:r>
      <w:r w:rsidR="004F5155" w:rsidRPr="007F1A46">
        <w:rPr>
          <w:sz w:val="28"/>
          <w:szCs w:val="28"/>
        </w:rPr>
        <w:t>erwise. Upon considerations of the arguments tendered for and against this particular issue, it is the opinion of this honourable court that the defendant being legal</w:t>
      </w:r>
      <w:r w:rsidR="00463799" w:rsidRPr="007F1A46">
        <w:rPr>
          <w:sz w:val="28"/>
          <w:szCs w:val="28"/>
        </w:rPr>
        <w:t xml:space="preserve"> personality </w:t>
      </w:r>
      <w:r w:rsidR="00FB143B" w:rsidRPr="007F1A46">
        <w:rPr>
          <w:sz w:val="28"/>
          <w:szCs w:val="28"/>
        </w:rPr>
        <w:t xml:space="preserve">exists in perpetuity </w:t>
      </w:r>
      <w:r w:rsidR="00463799" w:rsidRPr="007F1A46">
        <w:rPr>
          <w:sz w:val="28"/>
          <w:szCs w:val="28"/>
        </w:rPr>
        <w:t xml:space="preserve">perpetual existence </w:t>
      </w:r>
      <w:r w:rsidR="00ED3A69" w:rsidRPr="007F1A46">
        <w:rPr>
          <w:sz w:val="28"/>
          <w:szCs w:val="28"/>
        </w:rPr>
        <w:t xml:space="preserve">as </w:t>
      </w:r>
      <w:r w:rsidR="00463799" w:rsidRPr="007F1A46">
        <w:rPr>
          <w:sz w:val="28"/>
          <w:szCs w:val="28"/>
        </w:rPr>
        <w:t xml:space="preserve">a going concern </w:t>
      </w:r>
      <w:r w:rsidR="00ED3A69" w:rsidRPr="007F1A46">
        <w:rPr>
          <w:sz w:val="28"/>
          <w:szCs w:val="28"/>
        </w:rPr>
        <w:t xml:space="preserve">unless it is wound up which </w:t>
      </w:r>
      <w:r w:rsidR="00FB143B" w:rsidRPr="007F1A46">
        <w:rPr>
          <w:sz w:val="28"/>
          <w:szCs w:val="28"/>
        </w:rPr>
        <w:t>is not the case here.</w:t>
      </w:r>
      <w:r w:rsidR="00ED3A69" w:rsidRPr="007F1A46">
        <w:rPr>
          <w:sz w:val="28"/>
          <w:szCs w:val="28"/>
        </w:rPr>
        <w:t xml:space="preserve"> </w:t>
      </w:r>
      <w:r w:rsidR="00FB143B" w:rsidRPr="007F1A46">
        <w:rPr>
          <w:sz w:val="28"/>
          <w:szCs w:val="28"/>
        </w:rPr>
        <w:t>T</w:t>
      </w:r>
      <w:r w:rsidR="00ED3A69" w:rsidRPr="007F1A46">
        <w:rPr>
          <w:sz w:val="28"/>
          <w:szCs w:val="28"/>
        </w:rPr>
        <w:t>hus</w:t>
      </w:r>
      <w:r w:rsidR="00463799" w:rsidRPr="007F1A46">
        <w:rPr>
          <w:sz w:val="28"/>
          <w:szCs w:val="28"/>
        </w:rPr>
        <w:t xml:space="preserve"> </w:t>
      </w:r>
      <w:r w:rsidR="009A176C" w:rsidRPr="007F1A46">
        <w:rPr>
          <w:sz w:val="28"/>
          <w:szCs w:val="28"/>
        </w:rPr>
        <w:t>a</w:t>
      </w:r>
      <w:r w:rsidR="008C1976" w:rsidRPr="007F1A46">
        <w:rPr>
          <w:sz w:val="28"/>
          <w:szCs w:val="28"/>
        </w:rPr>
        <w:t xml:space="preserve">ccordingly </w:t>
      </w:r>
      <w:r w:rsidR="00FB143B" w:rsidRPr="007F1A46">
        <w:rPr>
          <w:sz w:val="28"/>
          <w:szCs w:val="28"/>
        </w:rPr>
        <w:t>under the Evidence Act</w:t>
      </w:r>
      <w:r w:rsidR="009A176C" w:rsidRPr="007F1A46">
        <w:rPr>
          <w:sz w:val="28"/>
          <w:szCs w:val="28"/>
        </w:rPr>
        <w:t xml:space="preserve"> </w:t>
      </w:r>
      <w:r w:rsidR="0063044A" w:rsidRPr="007F1A46">
        <w:rPr>
          <w:sz w:val="28"/>
          <w:szCs w:val="28"/>
        </w:rPr>
        <w:t xml:space="preserve">the </w:t>
      </w:r>
      <w:r w:rsidR="008C1976" w:rsidRPr="007F1A46">
        <w:rPr>
          <w:sz w:val="28"/>
          <w:szCs w:val="28"/>
        </w:rPr>
        <w:t xml:space="preserve">evidence </w:t>
      </w:r>
      <w:r w:rsidR="00463799" w:rsidRPr="007F1A46">
        <w:rPr>
          <w:sz w:val="28"/>
          <w:szCs w:val="28"/>
        </w:rPr>
        <w:t xml:space="preserve">of </w:t>
      </w:r>
      <w:r w:rsidR="0063044A" w:rsidRPr="007F1A46">
        <w:rPr>
          <w:sz w:val="28"/>
          <w:szCs w:val="28"/>
        </w:rPr>
        <w:t>DW2</w:t>
      </w:r>
      <w:r w:rsidR="008C1976" w:rsidRPr="007F1A46">
        <w:rPr>
          <w:sz w:val="28"/>
          <w:szCs w:val="28"/>
        </w:rPr>
        <w:t xml:space="preserve"> </w:t>
      </w:r>
      <w:r w:rsidR="00FB143B" w:rsidRPr="007F1A46">
        <w:rPr>
          <w:sz w:val="28"/>
          <w:szCs w:val="28"/>
        </w:rPr>
        <w:t xml:space="preserve">can be considered as receivable </w:t>
      </w:r>
      <w:r w:rsidR="009A176C" w:rsidRPr="007F1A46">
        <w:rPr>
          <w:sz w:val="28"/>
          <w:szCs w:val="28"/>
        </w:rPr>
        <w:t xml:space="preserve">evidence </w:t>
      </w:r>
      <w:r w:rsidR="00FB143B" w:rsidRPr="007F1A46">
        <w:rPr>
          <w:sz w:val="28"/>
          <w:szCs w:val="28"/>
        </w:rPr>
        <w:t>by this court since</w:t>
      </w:r>
      <w:r w:rsidR="009A176C" w:rsidRPr="007F1A46">
        <w:rPr>
          <w:sz w:val="28"/>
          <w:szCs w:val="28"/>
        </w:rPr>
        <w:t xml:space="preserve"> he testified to the fact that he was familiar</w:t>
      </w:r>
      <w:r w:rsidR="008C1976" w:rsidRPr="007F1A46">
        <w:rPr>
          <w:sz w:val="28"/>
          <w:szCs w:val="28"/>
        </w:rPr>
        <w:t xml:space="preserve"> with the facts </w:t>
      </w:r>
      <w:r w:rsidR="009A176C" w:rsidRPr="007F1A46">
        <w:rPr>
          <w:sz w:val="28"/>
          <w:szCs w:val="28"/>
        </w:rPr>
        <w:t xml:space="preserve">surrounding the instant </w:t>
      </w:r>
      <w:r w:rsidR="00FB143B" w:rsidRPr="007F1A46">
        <w:rPr>
          <w:sz w:val="28"/>
          <w:szCs w:val="28"/>
        </w:rPr>
        <w:t>matter</w:t>
      </w:r>
      <w:r w:rsidR="009A176C" w:rsidRPr="007F1A46">
        <w:rPr>
          <w:sz w:val="28"/>
          <w:szCs w:val="28"/>
        </w:rPr>
        <w:t xml:space="preserve"> as </w:t>
      </w:r>
      <w:r w:rsidR="00463799" w:rsidRPr="007F1A46">
        <w:rPr>
          <w:sz w:val="28"/>
          <w:szCs w:val="28"/>
        </w:rPr>
        <w:t>he</w:t>
      </w:r>
      <w:r w:rsidR="0063044A" w:rsidRPr="007F1A46">
        <w:rPr>
          <w:sz w:val="28"/>
          <w:szCs w:val="28"/>
        </w:rPr>
        <w:t xml:space="preserve"> </w:t>
      </w:r>
      <w:r w:rsidR="00FB143B" w:rsidRPr="007F1A46">
        <w:rPr>
          <w:sz w:val="28"/>
          <w:szCs w:val="28"/>
        </w:rPr>
        <w:t>was</w:t>
      </w:r>
      <w:r w:rsidR="009A176C" w:rsidRPr="007F1A46">
        <w:rPr>
          <w:sz w:val="28"/>
          <w:szCs w:val="28"/>
        </w:rPr>
        <w:t xml:space="preserve"> </w:t>
      </w:r>
      <w:r w:rsidR="008C1976" w:rsidRPr="007F1A46">
        <w:rPr>
          <w:sz w:val="28"/>
          <w:szCs w:val="28"/>
        </w:rPr>
        <w:t>in custody the relevant file</w:t>
      </w:r>
      <w:r w:rsidR="00463799" w:rsidRPr="007F1A46">
        <w:rPr>
          <w:sz w:val="28"/>
          <w:szCs w:val="28"/>
        </w:rPr>
        <w:t xml:space="preserve">s </w:t>
      </w:r>
      <w:r w:rsidR="00FB143B" w:rsidRPr="007F1A46">
        <w:rPr>
          <w:sz w:val="28"/>
          <w:szCs w:val="28"/>
        </w:rPr>
        <w:t xml:space="preserve">which </w:t>
      </w:r>
      <w:r w:rsidR="009A176C" w:rsidRPr="007F1A46">
        <w:rPr>
          <w:sz w:val="28"/>
          <w:szCs w:val="28"/>
        </w:rPr>
        <w:t>contain</w:t>
      </w:r>
      <w:r w:rsidR="00FB143B" w:rsidRPr="007F1A46">
        <w:rPr>
          <w:sz w:val="28"/>
          <w:szCs w:val="28"/>
        </w:rPr>
        <w:t xml:space="preserve">ed </w:t>
      </w:r>
      <w:r w:rsidR="009A176C" w:rsidRPr="007F1A46">
        <w:rPr>
          <w:sz w:val="28"/>
          <w:szCs w:val="28"/>
        </w:rPr>
        <w:t xml:space="preserve">information </w:t>
      </w:r>
      <w:r w:rsidR="00FB143B" w:rsidRPr="007F1A46">
        <w:rPr>
          <w:sz w:val="28"/>
          <w:szCs w:val="28"/>
        </w:rPr>
        <w:t xml:space="preserve">relevant </w:t>
      </w:r>
      <w:r w:rsidR="004316FA" w:rsidRPr="007F1A46">
        <w:rPr>
          <w:sz w:val="28"/>
          <w:szCs w:val="28"/>
        </w:rPr>
        <w:t xml:space="preserve">to this case </w:t>
      </w:r>
      <w:r w:rsidR="009A176C" w:rsidRPr="007F1A46">
        <w:rPr>
          <w:sz w:val="28"/>
          <w:szCs w:val="28"/>
        </w:rPr>
        <w:t xml:space="preserve">which </w:t>
      </w:r>
      <w:r w:rsidR="004316FA" w:rsidRPr="007F1A46">
        <w:rPr>
          <w:sz w:val="28"/>
          <w:szCs w:val="28"/>
        </w:rPr>
        <w:t>relates</w:t>
      </w:r>
      <w:r w:rsidR="009A176C" w:rsidRPr="007F1A46">
        <w:rPr>
          <w:sz w:val="28"/>
          <w:szCs w:val="28"/>
        </w:rPr>
        <w:t xml:space="preserve"> to the </w:t>
      </w:r>
      <w:r w:rsidR="004316FA" w:rsidRPr="007F1A46">
        <w:rPr>
          <w:sz w:val="28"/>
          <w:szCs w:val="28"/>
        </w:rPr>
        <w:t xml:space="preserve">tenancy arrangements and all communications in that regard. His testimony is </w:t>
      </w:r>
      <w:r w:rsidR="00273B6A" w:rsidRPr="007F1A46">
        <w:rPr>
          <w:sz w:val="28"/>
          <w:szCs w:val="28"/>
        </w:rPr>
        <w:t xml:space="preserve">thus </w:t>
      </w:r>
      <w:r w:rsidR="004316FA" w:rsidRPr="007F1A46">
        <w:rPr>
          <w:sz w:val="28"/>
          <w:szCs w:val="28"/>
        </w:rPr>
        <w:t>admissible in accordance with the information he has in his custody.</w:t>
      </w:r>
      <w:r w:rsidR="008C1976" w:rsidRPr="007F1A46">
        <w:rPr>
          <w:sz w:val="28"/>
          <w:szCs w:val="28"/>
        </w:rPr>
        <w:t xml:space="preserve"> </w:t>
      </w:r>
    </w:p>
    <w:p w:rsidR="00F63B14" w:rsidRPr="007F1A46" w:rsidRDefault="004316FA" w:rsidP="00AF5FE0">
      <w:pPr>
        <w:spacing w:line="480" w:lineRule="auto"/>
        <w:jc w:val="both"/>
        <w:rPr>
          <w:sz w:val="28"/>
          <w:szCs w:val="28"/>
        </w:rPr>
      </w:pPr>
      <w:r w:rsidRPr="007F1A46">
        <w:rPr>
          <w:sz w:val="28"/>
          <w:szCs w:val="28"/>
        </w:rPr>
        <w:t>To resolve this matter, the following issues</w:t>
      </w:r>
      <w:r w:rsidR="00F63B14" w:rsidRPr="007F1A46">
        <w:rPr>
          <w:sz w:val="28"/>
          <w:szCs w:val="28"/>
        </w:rPr>
        <w:t xml:space="preserve"> </w:t>
      </w:r>
      <w:r w:rsidRPr="007F1A46">
        <w:rPr>
          <w:sz w:val="28"/>
          <w:szCs w:val="28"/>
        </w:rPr>
        <w:t xml:space="preserve">are </w:t>
      </w:r>
      <w:r w:rsidR="00F63B14" w:rsidRPr="007F1A46">
        <w:rPr>
          <w:sz w:val="28"/>
          <w:szCs w:val="28"/>
        </w:rPr>
        <w:t xml:space="preserve">framed </w:t>
      </w:r>
      <w:r w:rsidRPr="007F1A46">
        <w:rPr>
          <w:sz w:val="28"/>
          <w:szCs w:val="28"/>
        </w:rPr>
        <w:t xml:space="preserve">and discussed and conclusions made thereon on </w:t>
      </w:r>
      <w:proofErr w:type="gramStart"/>
      <w:r w:rsidRPr="007F1A46">
        <w:rPr>
          <w:sz w:val="28"/>
          <w:szCs w:val="28"/>
        </w:rPr>
        <w:t xml:space="preserve">each </w:t>
      </w:r>
      <w:r w:rsidR="00273B6A" w:rsidRPr="007F1A46">
        <w:rPr>
          <w:sz w:val="28"/>
          <w:szCs w:val="28"/>
        </w:rPr>
        <w:t xml:space="preserve"> </w:t>
      </w:r>
      <w:r w:rsidR="00F63B14" w:rsidRPr="007F1A46">
        <w:rPr>
          <w:sz w:val="28"/>
          <w:szCs w:val="28"/>
        </w:rPr>
        <w:t>as</w:t>
      </w:r>
      <w:proofErr w:type="gramEnd"/>
      <w:r w:rsidR="00F63B14" w:rsidRPr="007F1A46">
        <w:rPr>
          <w:sz w:val="28"/>
          <w:szCs w:val="28"/>
        </w:rPr>
        <w:t xml:space="preserve"> below.</w:t>
      </w:r>
    </w:p>
    <w:p w:rsidR="000F7B11" w:rsidRPr="007F1A46" w:rsidRDefault="000F7B11" w:rsidP="00C84C37">
      <w:pPr>
        <w:pStyle w:val="ListParagraph"/>
        <w:numPr>
          <w:ilvl w:val="0"/>
          <w:numId w:val="12"/>
        </w:numPr>
        <w:spacing w:line="480" w:lineRule="auto"/>
        <w:jc w:val="both"/>
        <w:rPr>
          <w:b/>
          <w:sz w:val="28"/>
          <w:szCs w:val="28"/>
        </w:rPr>
      </w:pPr>
      <w:r w:rsidRPr="007F1A46">
        <w:rPr>
          <w:b/>
          <w:sz w:val="28"/>
          <w:szCs w:val="28"/>
          <w:u w:val="single"/>
        </w:rPr>
        <w:t>W</w:t>
      </w:r>
      <w:r w:rsidR="00897919" w:rsidRPr="007F1A46">
        <w:rPr>
          <w:b/>
          <w:sz w:val="28"/>
          <w:szCs w:val="28"/>
          <w:u w:val="single"/>
        </w:rPr>
        <w:t>hether the items listed in the plaintiff’s memo dated 13</w:t>
      </w:r>
      <w:r w:rsidR="00897919" w:rsidRPr="007F1A46">
        <w:rPr>
          <w:b/>
          <w:sz w:val="28"/>
          <w:szCs w:val="28"/>
          <w:u w:val="single"/>
          <w:vertAlign w:val="superscript"/>
        </w:rPr>
        <w:t>th</w:t>
      </w:r>
      <w:r w:rsidR="00897919" w:rsidRPr="007F1A46">
        <w:rPr>
          <w:b/>
          <w:sz w:val="28"/>
          <w:szCs w:val="28"/>
          <w:u w:val="single"/>
        </w:rPr>
        <w:t xml:space="preserve"> March, 2008, were the property of the landlord or of the tenant</w:t>
      </w:r>
      <w:r w:rsidR="00A078CE" w:rsidRPr="007F1A46">
        <w:rPr>
          <w:b/>
          <w:sz w:val="28"/>
          <w:szCs w:val="28"/>
          <w:u w:val="single"/>
        </w:rPr>
        <w:t>:</w:t>
      </w:r>
      <w:r w:rsidR="00897919" w:rsidRPr="007F1A46">
        <w:rPr>
          <w:sz w:val="28"/>
          <w:szCs w:val="28"/>
        </w:rPr>
        <w:t xml:space="preserve"> </w:t>
      </w:r>
    </w:p>
    <w:p w:rsidR="008F7543" w:rsidRPr="007F1A46" w:rsidRDefault="005846F0" w:rsidP="00AF5FE0">
      <w:pPr>
        <w:spacing w:line="480" w:lineRule="auto"/>
        <w:jc w:val="both"/>
        <w:rPr>
          <w:sz w:val="28"/>
          <w:szCs w:val="28"/>
        </w:rPr>
      </w:pPr>
      <w:r w:rsidRPr="007F1A46">
        <w:rPr>
          <w:sz w:val="28"/>
          <w:szCs w:val="28"/>
        </w:rPr>
        <w:t>From the pleadings and the testimony before this court, it is clear to me that the real dispute between the parties herein relates to whether or not the</w:t>
      </w:r>
      <w:r w:rsidR="000F7B11" w:rsidRPr="007F1A46">
        <w:rPr>
          <w:sz w:val="28"/>
          <w:szCs w:val="28"/>
        </w:rPr>
        <w:t xml:space="preserve"> tenant’s c</w:t>
      </w:r>
      <w:r w:rsidR="0019054C" w:rsidRPr="007F1A46">
        <w:rPr>
          <w:sz w:val="28"/>
          <w:szCs w:val="28"/>
        </w:rPr>
        <w:t>hattels</w:t>
      </w:r>
      <w:r w:rsidRPr="007F1A46">
        <w:rPr>
          <w:sz w:val="28"/>
          <w:szCs w:val="28"/>
        </w:rPr>
        <w:t xml:space="preserve"> which had been attached to the Plaintiff’s premises ceased to be its chattels following communications between officials of the Plaintiff and the Defendant following the expiry of the tenancy agreement</w:t>
      </w:r>
      <w:r w:rsidR="005411A0" w:rsidRPr="007F1A46">
        <w:rPr>
          <w:sz w:val="28"/>
          <w:szCs w:val="28"/>
        </w:rPr>
        <w:t>, contract upon which that</w:t>
      </w:r>
      <w:r w:rsidR="00516CAC" w:rsidRPr="007F1A46">
        <w:rPr>
          <w:sz w:val="28"/>
          <w:szCs w:val="28"/>
        </w:rPr>
        <w:t xml:space="preserve"> </w:t>
      </w:r>
      <w:r w:rsidR="00EC68B4" w:rsidRPr="007F1A46">
        <w:rPr>
          <w:sz w:val="28"/>
          <w:szCs w:val="28"/>
        </w:rPr>
        <w:t>t</w:t>
      </w:r>
      <w:r w:rsidR="00516CAC" w:rsidRPr="007F1A46">
        <w:rPr>
          <w:sz w:val="28"/>
          <w:szCs w:val="28"/>
        </w:rPr>
        <w:t xml:space="preserve">he parties </w:t>
      </w:r>
      <w:r w:rsidR="00EC68B4" w:rsidRPr="007F1A46">
        <w:rPr>
          <w:sz w:val="28"/>
          <w:szCs w:val="28"/>
        </w:rPr>
        <w:t xml:space="preserve">herein </w:t>
      </w:r>
      <w:r w:rsidR="00516CAC" w:rsidRPr="007F1A46">
        <w:rPr>
          <w:sz w:val="28"/>
          <w:szCs w:val="28"/>
        </w:rPr>
        <w:t xml:space="preserve">did enter into </w:t>
      </w:r>
      <w:r w:rsidR="005411A0" w:rsidRPr="007F1A46">
        <w:rPr>
          <w:sz w:val="28"/>
          <w:szCs w:val="28"/>
        </w:rPr>
        <w:t>in 2000 (Exhibit P.1).  The tenancy agreement had</w:t>
      </w:r>
      <w:r w:rsidR="00EC68B4" w:rsidRPr="007F1A46">
        <w:rPr>
          <w:sz w:val="28"/>
          <w:szCs w:val="28"/>
        </w:rPr>
        <w:t xml:space="preserve"> several </w:t>
      </w:r>
      <w:r w:rsidR="0019054C" w:rsidRPr="007F1A46">
        <w:rPr>
          <w:sz w:val="28"/>
          <w:szCs w:val="28"/>
        </w:rPr>
        <w:lastRenderedPageBreak/>
        <w:t>c</w:t>
      </w:r>
      <w:r w:rsidR="000F7B11" w:rsidRPr="007F1A46">
        <w:rPr>
          <w:sz w:val="28"/>
          <w:szCs w:val="28"/>
        </w:rPr>
        <w:t xml:space="preserve">lauses </w:t>
      </w:r>
      <w:r w:rsidR="00EC68B4" w:rsidRPr="007F1A46">
        <w:rPr>
          <w:sz w:val="28"/>
          <w:szCs w:val="28"/>
        </w:rPr>
        <w:t>among which included the</w:t>
      </w:r>
      <w:r w:rsidR="000F7B11" w:rsidRPr="007F1A46">
        <w:rPr>
          <w:sz w:val="28"/>
          <w:szCs w:val="28"/>
        </w:rPr>
        <w:t xml:space="preserve"> </w:t>
      </w:r>
      <w:r w:rsidR="0019054C" w:rsidRPr="007F1A46">
        <w:rPr>
          <w:sz w:val="28"/>
          <w:szCs w:val="28"/>
        </w:rPr>
        <w:t xml:space="preserve">restoration of the </w:t>
      </w:r>
      <w:r w:rsidR="000F7B11" w:rsidRPr="007F1A46">
        <w:rPr>
          <w:sz w:val="28"/>
          <w:szCs w:val="28"/>
        </w:rPr>
        <w:t>demise</w:t>
      </w:r>
      <w:r w:rsidR="0019054C" w:rsidRPr="007F1A46">
        <w:rPr>
          <w:sz w:val="28"/>
          <w:szCs w:val="28"/>
        </w:rPr>
        <w:t>d</w:t>
      </w:r>
      <w:r w:rsidR="00DB2873" w:rsidRPr="007F1A46">
        <w:rPr>
          <w:sz w:val="28"/>
          <w:szCs w:val="28"/>
        </w:rPr>
        <w:t xml:space="preserve"> premises to </w:t>
      </w:r>
      <w:r w:rsidR="0019054C" w:rsidRPr="007F1A46">
        <w:rPr>
          <w:sz w:val="28"/>
          <w:szCs w:val="28"/>
        </w:rPr>
        <w:t>its</w:t>
      </w:r>
      <w:r w:rsidR="00DB2873" w:rsidRPr="007F1A46">
        <w:rPr>
          <w:sz w:val="28"/>
          <w:szCs w:val="28"/>
        </w:rPr>
        <w:t xml:space="preserve"> origina</w:t>
      </w:r>
      <w:r w:rsidR="000F7B11" w:rsidRPr="007F1A46">
        <w:rPr>
          <w:sz w:val="28"/>
          <w:szCs w:val="28"/>
        </w:rPr>
        <w:t>l condition</w:t>
      </w:r>
      <w:r w:rsidR="0019054C" w:rsidRPr="007F1A46">
        <w:rPr>
          <w:sz w:val="28"/>
          <w:szCs w:val="28"/>
        </w:rPr>
        <w:t xml:space="preserve"> </w:t>
      </w:r>
      <w:r w:rsidR="00EC68B4" w:rsidRPr="007F1A46">
        <w:rPr>
          <w:sz w:val="28"/>
          <w:szCs w:val="28"/>
        </w:rPr>
        <w:t>upon</w:t>
      </w:r>
      <w:r w:rsidR="000F7B11" w:rsidRPr="007F1A46">
        <w:rPr>
          <w:sz w:val="28"/>
          <w:szCs w:val="28"/>
        </w:rPr>
        <w:t xml:space="preserve"> </w:t>
      </w:r>
      <w:r w:rsidR="005411A0" w:rsidRPr="007F1A46">
        <w:rPr>
          <w:sz w:val="28"/>
          <w:szCs w:val="28"/>
        </w:rPr>
        <w:t xml:space="preserve">its </w:t>
      </w:r>
      <w:r w:rsidR="000F7B11" w:rsidRPr="007F1A46">
        <w:rPr>
          <w:sz w:val="28"/>
          <w:szCs w:val="28"/>
        </w:rPr>
        <w:t>expiry</w:t>
      </w:r>
      <w:r w:rsidR="005411A0" w:rsidRPr="007F1A46">
        <w:rPr>
          <w:sz w:val="28"/>
          <w:szCs w:val="28"/>
        </w:rPr>
        <w:t xml:space="preserve">. </w:t>
      </w:r>
      <w:r w:rsidR="00AA5ABE" w:rsidRPr="007F1A46">
        <w:rPr>
          <w:sz w:val="28"/>
          <w:szCs w:val="28"/>
        </w:rPr>
        <w:t>C</w:t>
      </w:r>
      <w:r w:rsidR="00A078CE" w:rsidRPr="007F1A46">
        <w:rPr>
          <w:sz w:val="28"/>
          <w:szCs w:val="28"/>
        </w:rPr>
        <w:t xml:space="preserve">lause 4.4 </w:t>
      </w:r>
      <w:r w:rsidR="00AA5ABE" w:rsidRPr="007F1A46">
        <w:rPr>
          <w:sz w:val="28"/>
          <w:szCs w:val="28"/>
        </w:rPr>
        <w:t>contains th</w:t>
      </w:r>
      <w:r w:rsidR="009C4715" w:rsidRPr="007F1A46">
        <w:rPr>
          <w:sz w:val="28"/>
          <w:szCs w:val="28"/>
        </w:rPr>
        <w:t xml:space="preserve">ese conditions and it particularly provides </w:t>
      </w:r>
      <w:r w:rsidR="00AA5ABE" w:rsidRPr="007F1A46">
        <w:rPr>
          <w:sz w:val="28"/>
          <w:szCs w:val="28"/>
        </w:rPr>
        <w:t>that</w:t>
      </w:r>
      <w:r w:rsidR="009C4715" w:rsidRPr="007F1A46">
        <w:rPr>
          <w:sz w:val="28"/>
          <w:szCs w:val="28"/>
        </w:rPr>
        <w:t xml:space="preserve"> </w:t>
      </w:r>
      <w:r w:rsidR="00DB2873" w:rsidRPr="007F1A46">
        <w:rPr>
          <w:sz w:val="28"/>
          <w:szCs w:val="28"/>
        </w:rPr>
        <w:t xml:space="preserve">at the determination of the </w:t>
      </w:r>
      <w:r w:rsidR="009C4715" w:rsidRPr="007F1A46">
        <w:rPr>
          <w:sz w:val="28"/>
          <w:szCs w:val="28"/>
        </w:rPr>
        <w:t xml:space="preserve">tenancy </w:t>
      </w:r>
      <w:r w:rsidR="00DB2873" w:rsidRPr="007F1A46">
        <w:rPr>
          <w:sz w:val="28"/>
          <w:szCs w:val="28"/>
        </w:rPr>
        <w:t xml:space="preserve">agreement the </w:t>
      </w:r>
      <w:r w:rsidR="00826D44" w:rsidRPr="007F1A46">
        <w:rPr>
          <w:sz w:val="28"/>
          <w:szCs w:val="28"/>
        </w:rPr>
        <w:t xml:space="preserve">Defendant </w:t>
      </w:r>
      <w:r w:rsidR="00A078CE" w:rsidRPr="007F1A46">
        <w:rPr>
          <w:sz w:val="28"/>
          <w:szCs w:val="28"/>
        </w:rPr>
        <w:t xml:space="preserve">would yield </w:t>
      </w:r>
      <w:r w:rsidR="00DB2873" w:rsidRPr="007F1A46">
        <w:rPr>
          <w:sz w:val="28"/>
          <w:szCs w:val="28"/>
        </w:rPr>
        <w:t xml:space="preserve">to the </w:t>
      </w:r>
      <w:r w:rsidR="00826D44" w:rsidRPr="007F1A46">
        <w:rPr>
          <w:sz w:val="28"/>
          <w:szCs w:val="28"/>
        </w:rPr>
        <w:t xml:space="preserve">Plaintiff </w:t>
      </w:r>
      <w:r w:rsidR="00DB2873" w:rsidRPr="007F1A46">
        <w:rPr>
          <w:sz w:val="28"/>
          <w:szCs w:val="28"/>
        </w:rPr>
        <w:t xml:space="preserve">the </w:t>
      </w:r>
      <w:r w:rsidR="00826D44" w:rsidRPr="007F1A46">
        <w:rPr>
          <w:sz w:val="28"/>
          <w:szCs w:val="28"/>
        </w:rPr>
        <w:t xml:space="preserve">demised </w:t>
      </w:r>
      <w:r w:rsidR="00DB2873" w:rsidRPr="007F1A46">
        <w:rPr>
          <w:sz w:val="28"/>
          <w:szCs w:val="28"/>
        </w:rPr>
        <w:t>pr</w:t>
      </w:r>
      <w:r w:rsidR="00826D44" w:rsidRPr="007F1A46">
        <w:rPr>
          <w:sz w:val="28"/>
          <w:szCs w:val="28"/>
        </w:rPr>
        <w:t xml:space="preserve">emises duly painted, repaired </w:t>
      </w:r>
      <w:r w:rsidR="009C4715" w:rsidRPr="007F1A46">
        <w:rPr>
          <w:sz w:val="28"/>
          <w:szCs w:val="28"/>
        </w:rPr>
        <w:t xml:space="preserve">after removing </w:t>
      </w:r>
      <w:r w:rsidR="00826D44" w:rsidRPr="007F1A46">
        <w:rPr>
          <w:sz w:val="28"/>
          <w:szCs w:val="28"/>
        </w:rPr>
        <w:t xml:space="preserve">all </w:t>
      </w:r>
      <w:r w:rsidR="009C4715" w:rsidRPr="007F1A46">
        <w:rPr>
          <w:sz w:val="28"/>
          <w:szCs w:val="28"/>
        </w:rPr>
        <w:t xml:space="preserve">its </w:t>
      </w:r>
      <w:r w:rsidR="00826D44" w:rsidRPr="007F1A46">
        <w:rPr>
          <w:sz w:val="28"/>
          <w:szCs w:val="28"/>
        </w:rPr>
        <w:t xml:space="preserve">extensions, </w:t>
      </w:r>
      <w:r w:rsidR="00DB2873" w:rsidRPr="007F1A46">
        <w:rPr>
          <w:sz w:val="28"/>
          <w:szCs w:val="28"/>
        </w:rPr>
        <w:t xml:space="preserve">additions and improvements </w:t>
      </w:r>
      <w:r w:rsidR="009C4715" w:rsidRPr="007F1A46">
        <w:rPr>
          <w:sz w:val="28"/>
          <w:szCs w:val="28"/>
        </w:rPr>
        <w:t xml:space="preserve">inclusive of any </w:t>
      </w:r>
      <w:r w:rsidR="00DB2873" w:rsidRPr="007F1A46">
        <w:rPr>
          <w:sz w:val="28"/>
          <w:szCs w:val="28"/>
        </w:rPr>
        <w:t xml:space="preserve">fixtures </w:t>
      </w:r>
      <w:r w:rsidR="007C0EFB" w:rsidRPr="007F1A46">
        <w:rPr>
          <w:sz w:val="28"/>
          <w:szCs w:val="28"/>
        </w:rPr>
        <w:t xml:space="preserve">and fittings </w:t>
      </w:r>
      <w:r w:rsidR="00DB2873" w:rsidRPr="007F1A46">
        <w:rPr>
          <w:sz w:val="28"/>
          <w:szCs w:val="28"/>
        </w:rPr>
        <w:t>other than th</w:t>
      </w:r>
      <w:r w:rsidR="007C0EFB" w:rsidRPr="007F1A46">
        <w:rPr>
          <w:sz w:val="28"/>
          <w:szCs w:val="28"/>
        </w:rPr>
        <w:t>os</w:t>
      </w:r>
      <w:r w:rsidR="00DB2873" w:rsidRPr="007F1A46">
        <w:rPr>
          <w:sz w:val="28"/>
          <w:szCs w:val="28"/>
        </w:rPr>
        <w:t xml:space="preserve">e </w:t>
      </w:r>
      <w:r w:rsidR="009C4715" w:rsidRPr="007F1A46">
        <w:rPr>
          <w:sz w:val="28"/>
          <w:szCs w:val="28"/>
        </w:rPr>
        <w:t xml:space="preserve">which belonged to </w:t>
      </w:r>
      <w:r w:rsidR="007C0EFB" w:rsidRPr="007F1A46">
        <w:rPr>
          <w:sz w:val="28"/>
          <w:szCs w:val="28"/>
        </w:rPr>
        <w:t xml:space="preserve">he </w:t>
      </w:r>
      <w:r w:rsidR="00826D44" w:rsidRPr="007F1A46">
        <w:rPr>
          <w:sz w:val="28"/>
          <w:szCs w:val="28"/>
        </w:rPr>
        <w:t xml:space="preserve">landlord </w:t>
      </w:r>
      <w:r w:rsidR="008F7543" w:rsidRPr="007F1A46">
        <w:rPr>
          <w:sz w:val="28"/>
          <w:szCs w:val="28"/>
        </w:rPr>
        <w:t xml:space="preserve">and </w:t>
      </w:r>
      <w:r w:rsidR="009C4715" w:rsidRPr="007F1A46">
        <w:rPr>
          <w:sz w:val="28"/>
          <w:szCs w:val="28"/>
        </w:rPr>
        <w:t xml:space="preserve">was </w:t>
      </w:r>
      <w:r w:rsidR="00826D44" w:rsidRPr="007F1A46">
        <w:rPr>
          <w:sz w:val="28"/>
          <w:szCs w:val="28"/>
        </w:rPr>
        <w:t xml:space="preserve">to ensure that the demised premises was </w:t>
      </w:r>
      <w:r w:rsidR="009C4715" w:rsidRPr="007F1A46">
        <w:rPr>
          <w:sz w:val="28"/>
          <w:szCs w:val="28"/>
        </w:rPr>
        <w:t xml:space="preserve">returned </w:t>
      </w:r>
      <w:r w:rsidR="008F7543" w:rsidRPr="007F1A46">
        <w:rPr>
          <w:sz w:val="28"/>
          <w:szCs w:val="28"/>
        </w:rPr>
        <w:t xml:space="preserve">fit for use </w:t>
      </w:r>
      <w:r w:rsidR="00C931BB" w:rsidRPr="007F1A46">
        <w:rPr>
          <w:sz w:val="28"/>
          <w:szCs w:val="28"/>
        </w:rPr>
        <w:t xml:space="preserve">by the </w:t>
      </w:r>
      <w:r w:rsidR="007C0EFB" w:rsidRPr="007F1A46">
        <w:rPr>
          <w:sz w:val="28"/>
          <w:szCs w:val="28"/>
        </w:rPr>
        <w:t xml:space="preserve">landlord </w:t>
      </w:r>
      <w:r w:rsidR="009C4715" w:rsidRPr="007F1A46">
        <w:rPr>
          <w:sz w:val="28"/>
          <w:szCs w:val="28"/>
        </w:rPr>
        <w:t xml:space="preserve">after </w:t>
      </w:r>
      <w:r w:rsidR="007C0EFB" w:rsidRPr="007F1A46">
        <w:rPr>
          <w:sz w:val="28"/>
          <w:szCs w:val="28"/>
        </w:rPr>
        <w:t xml:space="preserve">the </w:t>
      </w:r>
      <w:r w:rsidR="00C931BB" w:rsidRPr="007F1A46">
        <w:rPr>
          <w:sz w:val="28"/>
          <w:szCs w:val="28"/>
        </w:rPr>
        <w:t xml:space="preserve"> </w:t>
      </w:r>
      <w:r w:rsidR="007C0EFB" w:rsidRPr="007F1A46">
        <w:rPr>
          <w:sz w:val="28"/>
          <w:szCs w:val="28"/>
        </w:rPr>
        <w:t xml:space="preserve">tenant </w:t>
      </w:r>
      <w:r w:rsidR="00C931BB" w:rsidRPr="007F1A46">
        <w:rPr>
          <w:sz w:val="28"/>
          <w:szCs w:val="28"/>
        </w:rPr>
        <w:t xml:space="preserve"> </w:t>
      </w:r>
      <w:r w:rsidR="009C4715" w:rsidRPr="007F1A46">
        <w:rPr>
          <w:sz w:val="28"/>
          <w:szCs w:val="28"/>
        </w:rPr>
        <w:t xml:space="preserve">had made </w:t>
      </w:r>
      <w:r w:rsidR="008F7543" w:rsidRPr="007F1A46">
        <w:rPr>
          <w:sz w:val="28"/>
          <w:szCs w:val="28"/>
        </w:rPr>
        <w:t xml:space="preserve">good </w:t>
      </w:r>
      <w:r w:rsidR="009C4715" w:rsidRPr="007F1A46">
        <w:rPr>
          <w:sz w:val="28"/>
          <w:szCs w:val="28"/>
        </w:rPr>
        <w:t xml:space="preserve">any or </w:t>
      </w:r>
      <w:r w:rsidR="008F7543" w:rsidRPr="007F1A46">
        <w:rPr>
          <w:sz w:val="28"/>
          <w:szCs w:val="28"/>
        </w:rPr>
        <w:t>all damages occasioned</w:t>
      </w:r>
      <w:r w:rsidR="009C4715" w:rsidRPr="007F1A46">
        <w:rPr>
          <w:sz w:val="28"/>
          <w:szCs w:val="28"/>
        </w:rPr>
        <w:t xml:space="preserve"> on the demised premises</w:t>
      </w:r>
      <w:r w:rsidR="008F7543" w:rsidRPr="007F1A46">
        <w:rPr>
          <w:sz w:val="28"/>
          <w:szCs w:val="28"/>
        </w:rPr>
        <w:t>.</w:t>
      </w:r>
      <w:r w:rsidR="007C0EFB" w:rsidRPr="007F1A46">
        <w:rPr>
          <w:sz w:val="28"/>
          <w:szCs w:val="28"/>
        </w:rPr>
        <w:t xml:space="preserve"> </w:t>
      </w:r>
      <w:r w:rsidR="009C4715" w:rsidRPr="007F1A46">
        <w:rPr>
          <w:sz w:val="28"/>
          <w:szCs w:val="28"/>
        </w:rPr>
        <w:t xml:space="preserve">This provision was restatement of the </w:t>
      </w:r>
      <w:r w:rsidR="006E4F6C" w:rsidRPr="007F1A46">
        <w:rPr>
          <w:sz w:val="28"/>
          <w:szCs w:val="28"/>
        </w:rPr>
        <w:t xml:space="preserve">rights of parties under a tenancy agreement under the </w:t>
      </w:r>
      <w:r w:rsidR="009C4715" w:rsidRPr="007F1A46">
        <w:rPr>
          <w:sz w:val="28"/>
          <w:szCs w:val="28"/>
        </w:rPr>
        <w:t xml:space="preserve">common law </w:t>
      </w:r>
      <w:r w:rsidR="006E4F6C" w:rsidRPr="007F1A46">
        <w:rPr>
          <w:sz w:val="28"/>
          <w:szCs w:val="28"/>
        </w:rPr>
        <w:t>which guarantees</w:t>
      </w:r>
      <w:r w:rsidR="000C47C0" w:rsidRPr="007F1A46">
        <w:rPr>
          <w:sz w:val="28"/>
          <w:szCs w:val="28"/>
        </w:rPr>
        <w:t xml:space="preserve"> the tenant its rights </w:t>
      </w:r>
      <w:r w:rsidR="008F7543" w:rsidRPr="007F1A46">
        <w:rPr>
          <w:sz w:val="28"/>
          <w:szCs w:val="28"/>
        </w:rPr>
        <w:t xml:space="preserve">to remove its </w:t>
      </w:r>
      <w:r w:rsidR="000C47C0" w:rsidRPr="007F1A46">
        <w:rPr>
          <w:sz w:val="28"/>
          <w:szCs w:val="28"/>
        </w:rPr>
        <w:t xml:space="preserve">lawful </w:t>
      </w:r>
      <w:r w:rsidR="008F7543" w:rsidRPr="007F1A46">
        <w:rPr>
          <w:sz w:val="28"/>
          <w:szCs w:val="28"/>
        </w:rPr>
        <w:t>fixtures generally</w:t>
      </w:r>
      <w:r w:rsidR="000C47C0" w:rsidRPr="007F1A46">
        <w:rPr>
          <w:sz w:val="28"/>
          <w:szCs w:val="28"/>
        </w:rPr>
        <w:t>.</w:t>
      </w:r>
      <w:r w:rsidR="00322F12" w:rsidRPr="007F1A46">
        <w:rPr>
          <w:sz w:val="28"/>
          <w:szCs w:val="28"/>
        </w:rPr>
        <w:t xml:space="preserve"> </w:t>
      </w:r>
      <w:r w:rsidR="000C47C0" w:rsidRPr="007F1A46">
        <w:rPr>
          <w:sz w:val="28"/>
          <w:szCs w:val="28"/>
        </w:rPr>
        <w:t xml:space="preserve">This right by itself does </w:t>
      </w:r>
      <w:r w:rsidR="00624E51" w:rsidRPr="007F1A46">
        <w:rPr>
          <w:sz w:val="28"/>
          <w:szCs w:val="28"/>
        </w:rPr>
        <w:t>not in</w:t>
      </w:r>
      <w:r w:rsidR="000C47C0" w:rsidRPr="007F1A46">
        <w:rPr>
          <w:sz w:val="28"/>
          <w:szCs w:val="28"/>
        </w:rPr>
        <w:t xml:space="preserve"> </w:t>
      </w:r>
      <w:r w:rsidR="00624E51" w:rsidRPr="007F1A46">
        <w:rPr>
          <w:sz w:val="28"/>
          <w:szCs w:val="28"/>
        </w:rPr>
        <w:t>any way negate</w:t>
      </w:r>
      <w:r w:rsidR="000C47C0" w:rsidRPr="007F1A46">
        <w:rPr>
          <w:sz w:val="28"/>
          <w:szCs w:val="28"/>
        </w:rPr>
        <w:t xml:space="preserve"> the</w:t>
      </w:r>
      <w:r w:rsidR="00624E51" w:rsidRPr="007F1A46">
        <w:rPr>
          <w:sz w:val="28"/>
          <w:szCs w:val="28"/>
        </w:rPr>
        <w:t xml:space="preserve"> </w:t>
      </w:r>
      <w:r w:rsidR="008F7543" w:rsidRPr="007F1A46">
        <w:rPr>
          <w:sz w:val="28"/>
          <w:szCs w:val="28"/>
        </w:rPr>
        <w:t xml:space="preserve">sanctity </w:t>
      </w:r>
      <w:r w:rsidR="00624E51" w:rsidRPr="007F1A46">
        <w:rPr>
          <w:sz w:val="28"/>
          <w:szCs w:val="28"/>
        </w:rPr>
        <w:t xml:space="preserve">to be had by parties to </w:t>
      </w:r>
      <w:r w:rsidR="006E4F6C" w:rsidRPr="007F1A46">
        <w:rPr>
          <w:sz w:val="28"/>
          <w:szCs w:val="28"/>
        </w:rPr>
        <w:t xml:space="preserve">such </w:t>
      </w:r>
      <w:r w:rsidR="00624E51" w:rsidRPr="007F1A46">
        <w:rPr>
          <w:sz w:val="28"/>
          <w:szCs w:val="28"/>
        </w:rPr>
        <w:t xml:space="preserve">a contract to freely </w:t>
      </w:r>
      <w:r w:rsidR="006E4F6C" w:rsidRPr="007F1A46">
        <w:rPr>
          <w:sz w:val="28"/>
          <w:szCs w:val="28"/>
        </w:rPr>
        <w:t xml:space="preserve">vary the common law position and thus </w:t>
      </w:r>
      <w:r w:rsidR="00624E51" w:rsidRPr="007F1A46">
        <w:rPr>
          <w:sz w:val="28"/>
          <w:szCs w:val="28"/>
        </w:rPr>
        <w:t xml:space="preserve">enter into an arrangement which is legally binding to both sides so long as they agree </w:t>
      </w:r>
      <w:r w:rsidR="006E4F6C" w:rsidRPr="007F1A46">
        <w:rPr>
          <w:sz w:val="28"/>
          <w:szCs w:val="28"/>
        </w:rPr>
        <w:t xml:space="preserve">for </w:t>
      </w:r>
      <w:r w:rsidR="00E64F5C" w:rsidRPr="007F1A46">
        <w:rPr>
          <w:b/>
          <w:sz w:val="28"/>
          <w:szCs w:val="28"/>
        </w:rPr>
        <w:t>WoodFall’s Law of Landlord and T</w:t>
      </w:r>
      <w:r w:rsidR="008F7543" w:rsidRPr="007F1A46">
        <w:rPr>
          <w:b/>
          <w:sz w:val="28"/>
          <w:szCs w:val="28"/>
        </w:rPr>
        <w:t>enant 24</w:t>
      </w:r>
      <w:r w:rsidR="008F7543" w:rsidRPr="007F1A46">
        <w:rPr>
          <w:b/>
          <w:sz w:val="28"/>
          <w:szCs w:val="28"/>
          <w:vertAlign w:val="superscript"/>
        </w:rPr>
        <w:t>th</w:t>
      </w:r>
      <w:r w:rsidR="008F7543" w:rsidRPr="007F1A46">
        <w:rPr>
          <w:b/>
          <w:sz w:val="28"/>
          <w:szCs w:val="28"/>
        </w:rPr>
        <w:t xml:space="preserve"> Ed (Revised and Re-modeled) by Leonel A. Blundell, Sweet and Maxwell 1939 </w:t>
      </w:r>
      <w:r w:rsidR="008F7543" w:rsidRPr="007F1A46">
        <w:rPr>
          <w:sz w:val="28"/>
          <w:szCs w:val="28"/>
        </w:rPr>
        <w:t xml:space="preserve">at page 764 </w:t>
      </w:r>
      <w:r w:rsidR="00E64F5C" w:rsidRPr="007F1A46">
        <w:rPr>
          <w:sz w:val="28"/>
          <w:szCs w:val="28"/>
        </w:rPr>
        <w:t>w</w:t>
      </w:r>
      <w:r w:rsidR="008A3C11" w:rsidRPr="007F1A46">
        <w:rPr>
          <w:sz w:val="28"/>
          <w:szCs w:val="28"/>
        </w:rPr>
        <w:t>ould seem to suggest that</w:t>
      </w:r>
      <w:r w:rsidR="008F7543" w:rsidRPr="007F1A46">
        <w:rPr>
          <w:sz w:val="28"/>
          <w:szCs w:val="28"/>
        </w:rPr>
        <w:t>:</w:t>
      </w:r>
    </w:p>
    <w:p w:rsidR="008F7543" w:rsidRPr="007F1A46" w:rsidRDefault="008F7543" w:rsidP="00AF5FE0">
      <w:pPr>
        <w:spacing w:line="480" w:lineRule="auto"/>
        <w:jc w:val="both"/>
        <w:rPr>
          <w:b/>
          <w:sz w:val="28"/>
          <w:szCs w:val="28"/>
        </w:rPr>
      </w:pPr>
      <w:r w:rsidRPr="007F1A46">
        <w:rPr>
          <w:b/>
          <w:sz w:val="28"/>
          <w:szCs w:val="28"/>
        </w:rPr>
        <w:t xml:space="preserve">“It is a </w:t>
      </w:r>
      <w:r w:rsidR="00917FA5" w:rsidRPr="007F1A46">
        <w:rPr>
          <w:b/>
          <w:sz w:val="28"/>
          <w:szCs w:val="28"/>
        </w:rPr>
        <w:t xml:space="preserve">principle of law applicable </w:t>
      </w:r>
      <w:r w:rsidR="00E64F5C" w:rsidRPr="007F1A46">
        <w:rPr>
          <w:b/>
          <w:sz w:val="28"/>
          <w:szCs w:val="28"/>
        </w:rPr>
        <w:t>to fixtures as well as other things</w:t>
      </w:r>
      <w:r w:rsidRPr="007F1A46">
        <w:rPr>
          <w:b/>
          <w:sz w:val="28"/>
          <w:szCs w:val="28"/>
        </w:rPr>
        <w:t xml:space="preserve"> that indivi</w:t>
      </w:r>
      <w:r w:rsidR="00E64F5C" w:rsidRPr="007F1A46">
        <w:rPr>
          <w:b/>
          <w:sz w:val="28"/>
          <w:szCs w:val="28"/>
        </w:rPr>
        <w:t>duals</w:t>
      </w:r>
      <w:r w:rsidRPr="007F1A46">
        <w:rPr>
          <w:b/>
          <w:sz w:val="28"/>
          <w:szCs w:val="28"/>
        </w:rPr>
        <w:t xml:space="preserve"> on entering into a contract may agree to vary the strict position in which they would otherwise legally stand towards each other, where no absurdity or general inconvenience would re</w:t>
      </w:r>
      <w:r w:rsidR="00E64F5C" w:rsidRPr="007F1A46">
        <w:rPr>
          <w:b/>
          <w:sz w:val="28"/>
          <w:szCs w:val="28"/>
        </w:rPr>
        <w:t>sult from the transaction…and i</w:t>
      </w:r>
      <w:r w:rsidRPr="007F1A46">
        <w:rPr>
          <w:b/>
          <w:sz w:val="28"/>
          <w:szCs w:val="28"/>
        </w:rPr>
        <w:t xml:space="preserve">f </w:t>
      </w:r>
      <w:r w:rsidRPr="007F1A46">
        <w:rPr>
          <w:b/>
          <w:sz w:val="28"/>
          <w:szCs w:val="28"/>
        </w:rPr>
        <w:lastRenderedPageBreak/>
        <w:t>the Landlord wishes to restrict his tenants’ ordinary right to rem</w:t>
      </w:r>
      <w:r w:rsidR="00E64F5C" w:rsidRPr="007F1A46">
        <w:rPr>
          <w:b/>
          <w:sz w:val="28"/>
          <w:szCs w:val="28"/>
        </w:rPr>
        <w:t>ove trade machinery or fixtures</w:t>
      </w:r>
      <w:r w:rsidRPr="007F1A46">
        <w:rPr>
          <w:b/>
          <w:sz w:val="28"/>
          <w:szCs w:val="28"/>
        </w:rPr>
        <w:t xml:space="preserve"> h</w:t>
      </w:r>
      <w:r w:rsidR="00E64F5C" w:rsidRPr="007F1A46">
        <w:rPr>
          <w:b/>
          <w:sz w:val="28"/>
          <w:szCs w:val="28"/>
        </w:rPr>
        <w:t>e must do so in plain language..</w:t>
      </w:r>
      <w:r w:rsidRPr="007F1A46">
        <w:rPr>
          <w:b/>
          <w:sz w:val="28"/>
          <w:szCs w:val="28"/>
        </w:rPr>
        <w:t>.”</w:t>
      </w:r>
    </w:p>
    <w:p w:rsidR="00C74AD7" w:rsidRPr="007F1A46" w:rsidRDefault="00EF14F4" w:rsidP="00AF5FE0">
      <w:pPr>
        <w:spacing w:line="480" w:lineRule="auto"/>
        <w:jc w:val="both"/>
        <w:rPr>
          <w:sz w:val="28"/>
          <w:szCs w:val="28"/>
        </w:rPr>
      </w:pPr>
      <w:r w:rsidRPr="007F1A46">
        <w:rPr>
          <w:sz w:val="28"/>
          <w:szCs w:val="28"/>
        </w:rPr>
        <w:t>Th</w:t>
      </w:r>
      <w:r w:rsidR="00CD38AA" w:rsidRPr="007F1A46">
        <w:rPr>
          <w:sz w:val="28"/>
          <w:szCs w:val="28"/>
        </w:rPr>
        <w:t>us</w:t>
      </w:r>
      <w:r w:rsidR="00C85499" w:rsidRPr="007F1A46">
        <w:rPr>
          <w:sz w:val="28"/>
          <w:szCs w:val="28"/>
        </w:rPr>
        <w:t xml:space="preserve"> </w:t>
      </w:r>
      <w:r w:rsidR="00917FA5" w:rsidRPr="007F1A46">
        <w:rPr>
          <w:sz w:val="28"/>
          <w:szCs w:val="28"/>
        </w:rPr>
        <w:t>th</w:t>
      </w:r>
      <w:r w:rsidRPr="007F1A46">
        <w:rPr>
          <w:sz w:val="28"/>
          <w:szCs w:val="28"/>
        </w:rPr>
        <w:t xml:space="preserve">e Canadian Court of Appeal for Ontario </w:t>
      </w:r>
      <w:r w:rsidR="00C85499" w:rsidRPr="007F1A46">
        <w:rPr>
          <w:sz w:val="28"/>
          <w:szCs w:val="28"/>
        </w:rPr>
        <w:t xml:space="preserve">in its decision in the case of </w:t>
      </w:r>
      <w:r w:rsidRPr="007F1A46">
        <w:rPr>
          <w:b/>
          <w:sz w:val="28"/>
          <w:szCs w:val="28"/>
        </w:rPr>
        <w:t xml:space="preserve">Clemmer Steel </w:t>
      </w:r>
      <w:r w:rsidR="00C74AD7" w:rsidRPr="007F1A46">
        <w:rPr>
          <w:b/>
          <w:sz w:val="28"/>
          <w:szCs w:val="28"/>
        </w:rPr>
        <w:t>Craft technologies Inc. v Bangor</w:t>
      </w:r>
      <w:r w:rsidRPr="007F1A46">
        <w:rPr>
          <w:b/>
          <w:sz w:val="28"/>
          <w:szCs w:val="28"/>
        </w:rPr>
        <w:t xml:space="preserve"> Metals Corp.2009 ONCA 534 (Can</w:t>
      </w:r>
      <w:r w:rsidR="006E3374" w:rsidRPr="007F1A46">
        <w:rPr>
          <w:b/>
          <w:sz w:val="28"/>
          <w:szCs w:val="28"/>
        </w:rPr>
        <w:t>LII</w:t>
      </w:r>
      <w:r w:rsidRPr="007F1A46">
        <w:rPr>
          <w:sz w:val="28"/>
          <w:szCs w:val="28"/>
        </w:rPr>
        <w:t xml:space="preserve">) </w:t>
      </w:r>
      <w:r w:rsidR="006E3374" w:rsidRPr="007F1A46">
        <w:rPr>
          <w:sz w:val="28"/>
          <w:szCs w:val="28"/>
        </w:rPr>
        <w:t xml:space="preserve">would appear to have noted this </w:t>
      </w:r>
      <w:r w:rsidR="00C85499" w:rsidRPr="007F1A46">
        <w:rPr>
          <w:sz w:val="28"/>
          <w:szCs w:val="28"/>
        </w:rPr>
        <w:t xml:space="preserve">position </w:t>
      </w:r>
      <w:r w:rsidR="006E3374" w:rsidRPr="007F1A46">
        <w:rPr>
          <w:sz w:val="28"/>
          <w:szCs w:val="28"/>
        </w:rPr>
        <w:t>for</w:t>
      </w:r>
      <w:r w:rsidR="00C85499" w:rsidRPr="007F1A46">
        <w:rPr>
          <w:sz w:val="28"/>
          <w:szCs w:val="28"/>
        </w:rPr>
        <w:t xml:space="preserve"> it stated that in order for a fixture to be considered a trade fixture </w:t>
      </w:r>
      <w:r w:rsidR="006E3374" w:rsidRPr="007F1A46">
        <w:rPr>
          <w:sz w:val="28"/>
          <w:szCs w:val="28"/>
        </w:rPr>
        <w:t xml:space="preserve">which </w:t>
      </w:r>
      <w:r w:rsidR="003D4C78" w:rsidRPr="007F1A46">
        <w:rPr>
          <w:sz w:val="28"/>
          <w:szCs w:val="28"/>
        </w:rPr>
        <w:t>belong</w:t>
      </w:r>
      <w:r w:rsidR="006E3374" w:rsidRPr="007F1A46">
        <w:rPr>
          <w:sz w:val="28"/>
          <w:szCs w:val="28"/>
        </w:rPr>
        <w:t>ed</w:t>
      </w:r>
      <w:r w:rsidR="003D4C78" w:rsidRPr="007F1A46">
        <w:rPr>
          <w:sz w:val="28"/>
          <w:szCs w:val="28"/>
        </w:rPr>
        <w:t xml:space="preserve"> to a tenant </w:t>
      </w:r>
      <w:r w:rsidR="00C85499" w:rsidRPr="007F1A46">
        <w:rPr>
          <w:sz w:val="28"/>
          <w:szCs w:val="28"/>
        </w:rPr>
        <w:t xml:space="preserve">then such fixture </w:t>
      </w:r>
      <w:r w:rsidR="003D4C78" w:rsidRPr="007F1A46">
        <w:rPr>
          <w:sz w:val="28"/>
          <w:szCs w:val="28"/>
        </w:rPr>
        <w:t xml:space="preserve">should be that </w:t>
      </w:r>
      <w:r w:rsidR="00C85499" w:rsidRPr="007F1A46">
        <w:rPr>
          <w:sz w:val="28"/>
          <w:szCs w:val="28"/>
        </w:rPr>
        <w:t>which w</w:t>
      </w:r>
      <w:r w:rsidR="003D4C78" w:rsidRPr="007F1A46">
        <w:rPr>
          <w:sz w:val="28"/>
          <w:szCs w:val="28"/>
        </w:rPr>
        <w:t>as</w:t>
      </w:r>
      <w:r w:rsidRPr="007F1A46">
        <w:rPr>
          <w:sz w:val="28"/>
          <w:szCs w:val="28"/>
        </w:rPr>
        <w:t xml:space="preserve"> introduced to the land and affixed </w:t>
      </w:r>
      <w:r w:rsidR="00A27877" w:rsidRPr="007F1A46">
        <w:rPr>
          <w:sz w:val="28"/>
          <w:szCs w:val="28"/>
        </w:rPr>
        <w:t>t</w:t>
      </w:r>
      <w:r w:rsidRPr="007F1A46">
        <w:rPr>
          <w:sz w:val="28"/>
          <w:szCs w:val="28"/>
        </w:rPr>
        <w:t xml:space="preserve">hereto by the tenant and </w:t>
      </w:r>
      <w:r w:rsidR="003D4C78" w:rsidRPr="007F1A46">
        <w:rPr>
          <w:sz w:val="28"/>
          <w:szCs w:val="28"/>
        </w:rPr>
        <w:t>was</w:t>
      </w:r>
      <w:r w:rsidR="00A27877" w:rsidRPr="007F1A46">
        <w:rPr>
          <w:sz w:val="28"/>
          <w:szCs w:val="28"/>
        </w:rPr>
        <w:t xml:space="preserve"> </w:t>
      </w:r>
      <w:r w:rsidRPr="007F1A46">
        <w:rPr>
          <w:sz w:val="28"/>
          <w:szCs w:val="28"/>
        </w:rPr>
        <w:t>particular to the tenant</w:t>
      </w:r>
      <w:r w:rsidR="003D4C78" w:rsidRPr="007F1A46">
        <w:rPr>
          <w:sz w:val="28"/>
          <w:szCs w:val="28"/>
        </w:rPr>
        <w:t>’</w:t>
      </w:r>
      <w:r w:rsidRPr="007F1A46">
        <w:rPr>
          <w:sz w:val="28"/>
          <w:szCs w:val="28"/>
        </w:rPr>
        <w:t>s bu</w:t>
      </w:r>
      <w:r w:rsidR="008961B0" w:rsidRPr="007F1A46">
        <w:rPr>
          <w:sz w:val="28"/>
          <w:szCs w:val="28"/>
        </w:rPr>
        <w:t>siness or trade</w:t>
      </w:r>
      <w:r w:rsidR="003D4C78" w:rsidRPr="007F1A46">
        <w:rPr>
          <w:sz w:val="28"/>
          <w:szCs w:val="28"/>
        </w:rPr>
        <w:t xml:space="preserve"> and th</w:t>
      </w:r>
      <w:r w:rsidR="006E3374" w:rsidRPr="007F1A46">
        <w:rPr>
          <w:sz w:val="28"/>
          <w:szCs w:val="28"/>
        </w:rPr>
        <w:t xml:space="preserve">us </w:t>
      </w:r>
      <w:r w:rsidRPr="007F1A46">
        <w:rPr>
          <w:sz w:val="28"/>
          <w:szCs w:val="28"/>
        </w:rPr>
        <w:t xml:space="preserve">the tenant </w:t>
      </w:r>
      <w:r w:rsidR="00A27877" w:rsidRPr="007F1A46">
        <w:rPr>
          <w:sz w:val="28"/>
          <w:szCs w:val="28"/>
        </w:rPr>
        <w:t xml:space="preserve">would have </w:t>
      </w:r>
      <w:r w:rsidRPr="007F1A46">
        <w:rPr>
          <w:sz w:val="28"/>
          <w:szCs w:val="28"/>
        </w:rPr>
        <w:t>the right</w:t>
      </w:r>
      <w:r w:rsidR="008961B0" w:rsidRPr="007F1A46">
        <w:rPr>
          <w:sz w:val="28"/>
          <w:szCs w:val="28"/>
        </w:rPr>
        <w:t xml:space="preserve"> to them at common law</w:t>
      </w:r>
      <w:r w:rsidR="00A27877" w:rsidRPr="007F1A46">
        <w:rPr>
          <w:sz w:val="28"/>
          <w:szCs w:val="28"/>
        </w:rPr>
        <w:t xml:space="preserve">. </w:t>
      </w:r>
      <w:r w:rsidR="006E3374" w:rsidRPr="007F1A46">
        <w:rPr>
          <w:sz w:val="28"/>
          <w:szCs w:val="28"/>
        </w:rPr>
        <w:t>with</w:t>
      </w:r>
      <w:r w:rsidR="008961B0" w:rsidRPr="007F1A46">
        <w:rPr>
          <w:sz w:val="28"/>
          <w:szCs w:val="28"/>
        </w:rPr>
        <w:t xml:space="preserve"> </w:t>
      </w:r>
      <w:r w:rsidR="00AF5479" w:rsidRPr="007F1A46">
        <w:rPr>
          <w:sz w:val="28"/>
          <w:szCs w:val="28"/>
        </w:rPr>
        <w:t>Newbold</w:t>
      </w:r>
      <w:r w:rsidRPr="007F1A46">
        <w:rPr>
          <w:sz w:val="28"/>
          <w:szCs w:val="28"/>
        </w:rPr>
        <w:t xml:space="preserve"> </w:t>
      </w:r>
      <w:r w:rsidR="008961B0" w:rsidRPr="007F1A46">
        <w:rPr>
          <w:sz w:val="28"/>
          <w:szCs w:val="28"/>
        </w:rPr>
        <w:t>J distinguish</w:t>
      </w:r>
      <w:r w:rsidR="006E3374" w:rsidRPr="007F1A46">
        <w:rPr>
          <w:sz w:val="28"/>
          <w:szCs w:val="28"/>
        </w:rPr>
        <w:t xml:space="preserve">ing </w:t>
      </w:r>
      <w:r w:rsidRPr="007F1A46">
        <w:rPr>
          <w:sz w:val="28"/>
          <w:szCs w:val="28"/>
        </w:rPr>
        <w:t xml:space="preserve">between </w:t>
      </w:r>
      <w:r w:rsidR="008961B0" w:rsidRPr="007F1A46">
        <w:rPr>
          <w:sz w:val="28"/>
          <w:szCs w:val="28"/>
        </w:rPr>
        <w:t>c</w:t>
      </w:r>
      <w:r w:rsidRPr="007F1A46">
        <w:rPr>
          <w:sz w:val="28"/>
          <w:szCs w:val="28"/>
        </w:rPr>
        <w:t xml:space="preserve">hattels </w:t>
      </w:r>
      <w:r w:rsidR="008961B0" w:rsidRPr="007F1A46">
        <w:rPr>
          <w:sz w:val="28"/>
          <w:szCs w:val="28"/>
        </w:rPr>
        <w:t>and fixtures</w:t>
      </w:r>
      <w:r w:rsidRPr="007F1A46">
        <w:rPr>
          <w:sz w:val="28"/>
          <w:szCs w:val="28"/>
        </w:rPr>
        <w:t xml:space="preserve"> </w:t>
      </w:r>
      <w:r w:rsidR="006E3374" w:rsidRPr="007F1A46">
        <w:rPr>
          <w:sz w:val="28"/>
          <w:szCs w:val="28"/>
        </w:rPr>
        <w:t xml:space="preserve">when he </w:t>
      </w:r>
      <w:r w:rsidRPr="007F1A46">
        <w:rPr>
          <w:sz w:val="28"/>
          <w:szCs w:val="28"/>
        </w:rPr>
        <w:t>conclude</w:t>
      </w:r>
      <w:r w:rsidR="006E3374" w:rsidRPr="007F1A46">
        <w:rPr>
          <w:sz w:val="28"/>
          <w:szCs w:val="28"/>
        </w:rPr>
        <w:t>d</w:t>
      </w:r>
      <w:r w:rsidRPr="007F1A46">
        <w:rPr>
          <w:sz w:val="28"/>
          <w:szCs w:val="28"/>
        </w:rPr>
        <w:t xml:space="preserve"> </w:t>
      </w:r>
      <w:r w:rsidR="00C74AD7" w:rsidRPr="007F1A46">
        <w:rPr>
          <w:sz w:val="28"/>
          <w:szCs w:val="28"/>
        </w:rPr>
        <w:t xml:space="preserve">that </w:t>
      </w:r>
      <w:r w:rsidR="008961B0" w:rsidRPr="007F1A46">
        <w:rPr>
          <w:sz w:val="28"/>
          <w:szCs w:val="28"/>
        </w:rPr>
        <w:t xml:space="preserve">a </w:t>
      </w:r>
      <w:r w:rsidRPr="007F1A46">
        <w:rPr>
          <w:sz w:val="28"/>
          <w:szCs w:val="28"/>
        </w:rPr>
        <w:t xml:space="preserve">spray booth </w:t>
      </w:r>
      <w:r w:rsidR="008961B0" w:rsidRPr="007F1A46">
        <w:rPr>
          <w:sz w:val="28"/>
          <w:szCs w:val="28"/>
        </w:rPr>
        <w:t xml:space="preserve">as was </w:t>
      </w:r>
      <w:r w:rsidR="00A27877" w:rsidRPr="007F1A46">
        <w:rPr>
          <w:sz w:val="28"/>
          <w:szCs w:val="28"/>
        </w:rPr>
        <w:t xml:space="preserve">the chattel </w:t>
      </w:r>
      <w:r w:rsidRPr="007F1A46">
        <w:rPr>
          <w:sz w:val="28"/>
          <w:szCs w:val="28"/>
        </w:rPr>
        <w:t xml:space="preserve">in issue was a </w:t>
      </w:r>
      <w:r w:rsidR="00C74AD7" w:rsidRPr="007F1A46">
        <w:rPr>
          <w:sz w:val="28"/>
          <w:szCs w:val="28"/>
        </w:rPr>
        <w:t>trade</w:t>
      </w:r>
      <w:r w:rsidRPr="007F1A46">
        <w:rPr>
          <w:sz w:val="28"/>
          <w:szCs w:val="28"/>
        </w:rPr>
        <w:t xml:space="preserve"> or tenant</w:t>
      </w:r>
      <w:r w:rsidR="00A27877" w:rsidRPr="007F1A46">
        <w:rPr>
          <w:sz w:val="28"/>
          <w:szCs w:val="28"/>
        </w:rPr>
        <w:t>’</w:t>
      </w:r>
      <w:r w:rsidR="008961B0" w:rsidRPr="007F1A46">
        <w:rPr>
          <w:sz w:val="28"/>
          <w:szCs w:val="28"/>
        </w:rPr>
        <w:t>s fixture that could be removed</w:t>
      </w:r>
      <w:r w:rsidRPr="007F1A46">
        <w:rPr>
          <w:sz w:val="28"/>
          <w:szCs w:val="28"/>
        </w:rPr>
        <w:t xml:space="preserve"> but </w:t>
      </w:r>
      <w:r w:rsidR="008961B0" w:rsidRPr="007F1A46">
        <w:rPr>
          <w:sz w:val="28"/>
          <w:szCs w:val="28"/>
        </w:rPr>
        <w:t>under t</w:t>
      </w:r>
      <w:r w:rsidRPr="007F1A46">
        <w:rPr>
          <w:sz w:val="28"/>
          <w:szCs w:val="28"/>
        </w:rPr>
        <w:t xml:space="preserve">he terms which </w:t>
      </w:r>
      <w:r w:rsidR="008961B0" w:rsidRPr="007F1A46">
        <w:rPr>
          <w:sz w:val="28"/>
          <w:szCs w:val="28"/>
        </w:rPr>
        <w:t xml:space="preserve">the </w:t>
      </w:r>
      <w:r w:rsidRPr="007F1A46">
        <w:rPr>
          <w:sz w:val="28"/>
          <w:szCs w:val="28"/>
        </w:rPr>
        <w:t xml:space="preserve">parties </w:t>
      </w:r>
      <w:r w:rsidR="008961B0" w:rsidRPr="007F1A46">
        <w:rPr>
          <w:sz w:val="28"/>
          <w:szCs w:val="28"/>
        </w:rPr>
        <w:t xml:space="preserve">had </w:t>
      </w:r>
      <w:r w:rsidR="00A27877" w:rsidRPr="007F1A46">
        <w:rPr>
          <w:sz w:val="28"/>
          <w:szCs w:val="28"/>
        </w:rPr>
        <w:t>agreed upon</w:t>
      </w:r>
      <w:r w:rsidR="009706B0" w:rsidRPr="007F1A46">
        <w:rPr>
          <w:sz w:val="28"/>
          <w:szCs w:val="28"/>
        </w:rPr>
        <w:t xml:space="preserve">. The learned justice, however went on to </w:t>
      </w:r>
      <w:r w:rsidR="008961B0" w:rsidRPr="007F1A46">
        <w:rPr>
          <w:sz w:val="28"/>
          <w:szCs w:val="28"/>
        </w:rPr>
        <w:t>stress</w:t>
      </w:r>
      <w:r w:rsidR="00C74AD7" w:rsidRPr="007F1A46">
        <w:rPr>
          <w:sz w:val="28"/>
          <w:szCs w:val="28"/>
        </w:rPr>
        <w:t xml:space="preserve"> that the language used between landlord and tenant in the lease and their </w:t>
      </w:r>
      <w:r w:rsidR="009706B0" w:rsidRPr="007F1A46">
        <w:rPr>
          <w:sz w:val="28"/>
          <w:szCs w:val="28"/>
        </w:rPr>
        <w:t xml:space="preserve">further </w:t>
      </w:r>
      <w:r w:rsidR="00C74AD7" w:rsidRPr="007F1A46">
        <w:rPr>
          <w:sz w:val="28"/>
          <w:szCs w:val="28"/>
        </w:rPr>
        <w:t xml:space="preserve">dealings </w:t>
      </w:r>
      <w:r w:rsidR="00A27877" w:rsidRPr="007F1A46">
        <w:rPr>
          <w:sz w:val="28"/>
          <w:szCs w:val="28"/>
        </w:rPr>
        <w:t xml:space="preserve">would </w:t>
      </w:r>
      <w:r w:rsidR="009706B0" w:rsidRPr="007F1A46">
        <w:rPr>
          <w:sz w:val="28"/>
          <w:szCs w:val="28"/>
        </w:rPr>
        <w:t>govern</w:t>
      </w:r>
      <w:r w:rsidR="00C74AD7" w:rsidRPr="007F1A46">
        <w:rPr>
          <w:sz w:val="28"/>
          <w:szCs w:val="28"/>
        </w:rPr>
        <w:t xml:space="preserve"> the result </w:t>
      </w:r>
      <w:r w:rsidR="000F3BE1" w:rsidRPr="007F1A46">
        <w:rPr>
          <w:sz w:val="28"/>
          <w:szCs w:val="28"/>
        </w:rPr>
        <w:t>of the suit</w:t>
      </w:r>
      <w:r w:rsidR="00A27877" w:rsidRPr="007F1A46">
        <w:rPr>
          <w:sz w:val="28"/>
          <w:szCs w:val="28"/>
        </w:rPr>
        <w:t xml:space="preserve"> </w:t>
      </w:r>
      <w:r w:rsidR="009706B0" w:rsidRPr="007F1A46">
        <w:rPr>
          <w:sz w:val="28"/>
          <w:szCs w:val="28"/>
        </w:rPr>
        <w:t xml:space="preserve">for </w:t>
      </w:r>
      <w:r w:rsidR="000F3BE1" w:rsidRPr="007F1A46">
        <w:rPr>
          <w:sz w:val="28"/>
          <w:szCs w:val="28"/>
        </w:rPr>
        <w:t>in t</w:t>
      </w:r>
      <w:r w:rsidR="00C74AD7" w:rsidRPr="007F1A46">
        <w:rPr>
          <w:sz w:val="28"/>
          <w:szCs w:val="28"/>
        </w:rPr>
        <w:t xml:space="preserve">he </w:t>
      </w:r>
      <w:r w:rsidR="000F3BE1" w:rsidRPr="007F1A46">
        <w:rPr>
          <w:sz w:val="28"/>
          <w:szCs w:val="28"/>
        </w:rPr>
        <w:t>lease agreement in th</w:t>
      </w:r>
      <w:r w:rsidR="009706B0" w:rsidRPr="007F1A46">
        <w:rPr>
          <w:sz w:val="28"/>
          <w:szCs w:val="28"/>
        </w:rPr>
        <w:t xml:space="preserve">is particular </w:t>
      </w:r>
      <w:r w:rsidR="000F3BE1" w:rsidRPr="007F1A46">
        <w:rPr>
          <w:sz w:val="28"/>
          <w:szCs w:val="28"/>
        </w:rPr>
        <w:t xml:space="preserve">case </w:t>
      </w:r>
      <w:r w:rsidR="00C74AD7" w:rsidRPr="007F1A46">
        <w:rPr>
          <w:sz w:val="28"/>
          <w:szCs w:val="28"/>
        </w:rPr>
        <w:t xml:space="preserve">the parties had </w:t>
      </w:r>
      <w:r w:rsidR="00A7743C" w:rsidRPr="007F1A46">
        <w:rPr>
          <w:sz w:val="28"/>
          <w:szCs w:val="28"/>
        </w:rPr>
        <w:t xml:space="preserve">under Section 21 </w:t>
      </w:r>
      <w:r w:rsidR="00C74AD7" w:rsidRPr="007F1A46">
        <w:rPr>
          <w:sz w:val="28"/>
          <w:szCs w:val="28"/>
        </w:rPr>
        <w:t>agreed as follows;-</w:t>
      </w:r>
    </w:p>
    <w:p w:rsidR="00C74AD7" w:rsidRPr="007F1A46" w:rsidRDefault="00C74AD7" w:rsidP="00A7743C">
      <w:pPr>
        <w:spacing w:line="480" w:lineRule="auto"/>
        <w:ind w:left="720"/>
        <w:jc w:val="both"/>
        <w:rPr>
          <w:b/>
          <w:sz w:val="28"/>
          <w:szCs w:val="28"/>
        </w:rPr>
      </w:pPr>
      <w:r w:rsidRPr="007F1A46">
        <w:rPr>
          <w:b/>
          <w:sz w:val="28"/>
          <w:szCs w:val="28"/>
        </w:rPr>
        <w:t>“</w:t>
      </w:r>
      <w:r w:rsidR="00A7743C" w:rsidRPr="007F1A46">
        <w:rPr>
          <w:b/>
          <w:sz w:val="28"/>
          <w:szCs w:val="28"/>
        </w:rPr>
        <w:t>…</w:t>
      </w:r>
      <w:r w:rsidRPr="007F1A46">
        <w:rPr>
          <w:b/>
          <w:sz w:val="28"/>
          <w:szCs w:val="28"/>
        </w:rPr>
        <w:t xml:space="preserve">leasehold improvements and fixtures upon the demised premises and which in any manner are or shall be attached to the floors, walls, ceiling or roof of the demised premises shall, upon commencement date, become the </w:t>
      </w:r>
      <w:r w:rsidR="000F3BE1" w:rsidRPr="007F1A46">
        <w:rPr>
          <w:b/>
          <w:sz w:val="28"/>
          <w:szCs w:val="28"/>
        </w:rPr>
        <w:t>sole property of the landlord…</w:t>
      </w:r>
      <w:r w:rsidRPr="007F1A46">
        <w:rPr>
          <w:b/>
          <w:sz w:val="28"/>
          <w:szCs w:val="28"/>
        </w:rPr>
        <w:t>”</w:t>
      </w:r>
    </w:p>
    <w:p w:rsidR="00830443" w:rsidRPr="007F1A46" w:rsidRDefault="009706B0" w:rsidP="00AF5FE0">
      <w:pPr>
        <w:spacing w:line="480" w:lineRule="auto"/>
        <w:jc w:val="both"/>
        <w:rPr>
          <w:sz w:val="28"/>
          <w:szCs w:val="28"/>
        </w:rPr>
      </w:pPr>
      <w:r w:rsidRPr="007F1A46">
        <w:rPr>
          <w:sz w:val="28"/>
          <w:szCs w:val="28"/>
        </w:rPr>
        <w:lastRenderedPageBreak/>
        <w:t xml:space="preserve">This provision of </w:t>
      </w:r>
      <w:r w:rsidR="00C74AD7" w:rsidRPr="007F1A46">
        <w:rPr>
          <w:sz w:val="28"/>
          <w:szCs w:val="28"/>
        </w:rPr>
        <w:t>Section 21 was a standard form clause which originally contained exception</w:t>
      </w:r>
      <w:r w:rsidRPr="007F1A46">
        <w:rPr>
          <w:sz w:val="28"/>
          <w:szCs w:val="28"/>
        </w:rPr>
        <w:t>s</w:t>
      </w:r>
      <w:r w:rsidR="00C74AD7" w:rsidRPr="007F1A46">
        <w:rPr>
          <w:sz w:val="28"/>
          <w:szCs w:val="28"/>
        </w:rPr>
        <w:t xml:space="preserve"> for trade or </w:t>
      </w:r>
      <w:r w:rsidRPr="007F1A46">
        <w:rPr>
          <w:sz w:val="28"/>
          <w:szCs w:val="28"/>
        </w:rPr>
        <w:t>tenant’s</w:t>
      </w:r>
      <w:r w:rsidR="00C74AD7" w:rsidRPr="007F1A46">
        <w:rPr>
          <w:sz w:val="28"/>
          <w:szCs w:val="28"/>
        </w:rPr>
        <w:t xml:space="preserve"> fixtures that were to be list</w:t>
      </w:r>
      <w:r w:rsidR="000F3BE1" w:rsidRPr="007F1A46">
        <w:rPr>
          <w:sz w:val="28"/>
          <w:szCs w:val="28"/>
        </w:rPr>
        <w:t xml:space="preserve">ed in a schedule to the lease but </w:t>
      </w:r>
      <w:r w:rsidRPr="007F1A46">
        <w:rPr>
          <w:sz w:val="28"/>
          <w:szCs w:val="28"/>
        </w:rPr>
        <w:t xml:space="preserve">in this respect </w:t>
      </w:r>
      <w:r w:rsidR="000F3BE1" w:rsidRPr="007F1A46">
        <w:rPr>
          <w:sz w:val="28"/>
          <w:szCs w:val="28"/>
        </w:rPr>
        <w:t>t</w:t>
      </w:r>
      <w:r w:rsidR="00CA1DEB" w:rsidRPr="007F1A46">
        <w:rPr>
          <w:sz w:val="28"/>
          <w:szCs w:val="28"/>
        </w:rPr>
        <w:t>he</w:t>
      </w:r>
      <w:r w:rsidR="00C74AD7" w:rsidRPr="007F1A46">
        <w:rPr>
          <w:sz w:val="28"/>
          <w:szCs w:val="28"/>
        </w:rPr>
        <w:t xml:space="preserve"> exception </w:t>
      </w:r>
      <w:r w:rsidR="00CA1DEB" w:rsidRPr="007F1A46">
        <w:rPr>
          <w:sz w:val="28"/>
          <w:szCs w:val="28"/>
        </w:rPr>
        <w:t xml:space="preserve">had been </w:t>
      </w:r>
      <w:r w:rsidR="00C74AD7" w:rsidRPr="007F1A46">
        <w:rPr>
          <w:sz w:val="28"/>
          <w:szCs w:val="28"/>
        </w:rPr>
        <w:t xml:space="preserve">struck out by the parties </w:t>
      </w:r>
      <w:r w:rsidRPr="007F1A46">
        <w:rPr>
          <w:sz w:val="28"/>
          <w:szCs w:val="28"/>
        </w:rPr>
        <w:t xml:space="preserve">and </w:t>
      </w:r>
      <w:r w:rsidR="00C74AD7" w:rsidRPr="007F1A46">
        <w:rPr>
          <w:sz w:val="28"/>
          <w:szCs w:val="28"/>
        </w:rPr>
        <w:t>the schedu</w:t>
      </w:r>
      <w:r w:rsidR="000F3BE1" w:rsidRPr="007F1A46">
        <w:rPr>
          <w:sz w:val="28"/>
          <w:szCs w:val="28"/>
        </w:rPr>
        <w:t xml:space="preserve">le </w:t>
      </w:r>
      <w:r w:rsidR="00CA1DEB" w:rsidRPr="007F1A46">
        <w:rPr>
          <w:sz w:val="28"/>
          <w:szCs w:val="28"/>
        </w:rPr>
        <w:t xml:space="preserve">thus </w:t>
      </w:r>
      <w:r w:rsidR="000F3BE1" w:rsidRPr="007F1A46">
        <w:rPr>
          <w:sz w:val="28"/>
          <w:szCs w:val="28"/>
        </w:rPr>
        <w:t>intentionally left blank</w:t>
      </w:r>
      <w:r w:rsidR="00CA1DEB" w:rsidRPr="007F1A46">
        <w:rPr>
          <w:sz w:val="28"/>
          <w:szCs w:val="28"/>
        </w:rPr>
        <w:t xml:space="preserve">. </w:t>
      </w:r>
      <w:r w:rsidR="00C62CB5" w:rsidRPr="007F1A46">
        <w:rPr>
          <w:sz w:val="28"/>
          <w:szCs w:val="28"/>
        </w:rPr>
        <w:t xml:space="preserve">By </w:t>
      </w:r>
      <w:r w:rsidR="00CA1DEB" w:rsidRPr="007F1A46">
        <w:rPr>
          <w:sz w:val="28"/>
          <w:szCs w:val="28"/>
        </w:rPr>
        <w:t>acti</w:t>
      </w:r>
      <w:r w:rsidR="00C62CB5" w:rsidRPr="007F1A46">
        <w:rPr>
          <w:sz w:val="28"/>
          <w:szCs w:val="28"/>
        </w:rPr>
        <w:t>ng in this manner, the learned justice concluded that</w:t>
      </w:r>
      <w:r w:rsidR="00CA1DEB" w:rsidRPr="007F1A46">
        <w:rPr>
          <w:sz w:val="28"/>
          <w:szCs w:val="28"/>
        </w:rPr>
        <w:t xml:space="preserve"> the parties </w:t>
      </w:r>
      <w:r w:rsidR="00C62CB5" w:rsidRPr="007F1A46">
        <w:rPr>
          <w:sz w:val="28"/>
          <w:szCs w:val="28"/>
        </w:rPr>
        <w:t xml:space="preserve">had made </w:t>
      </w:r>
      <w:r w:rsidR="000F3BE1" w:rsidRPr="007F1A46">
        <w:rPr>
          <w:sz w:val="28"/>
          <w:szCs w:val="28"/>
        </w:rPr>
        <w:t>the spray booth and the racking</w:t>
      </w:r>
      <w:r w:rsidR="00C74AD7" w:rsidRPr="007F1A46">
        <w:rPr>
          <w:sz w:val="28"/>
          <w:szCs w:val="28"/>
        </w:rPr>
        <w:t xml:space="preserve"> </w:t>
      </w:r>
      <w:r w:rsidR="00C62CB5" w:rsidRPr="007F1A46">
        <w:rPr>
          <w:sz w:val="28"/>
          <w:szCs w:val="28"/>
        </w:rPr>
        <w:t>to beco</w:t>
      </w:r>
      <w:r w:rsidR="004944A5" w:rsidRPr="007F1A46">
        <w:rPr>
          <w:sz w:val="28"/>
          <w:szCs w:val="28"/>
        </w:rPr>
        <w:t>me</w:t>
      </w:r>
      <w:r w:rsidR="00830443" w:rsidRPr="007F1A46">
        <w:rPr>
          <w:sz w:val="28"/>
          <w:szCs w:val="28"/>
        </w:rPr>
        <w:t xml:space="preserve"> property of the land lord </w:t>
      </w:r>
      <w:r w:rsidR="00C62CB5" w:rsidRPr="007F1A46">
        <w:rPr>
          <w:sz w:val="28"/>
          <w:szCs w:val="28"/>
        </w:rPr>
        <w:t xml:space="preserve">which </w:t>
      </w:r>
      <w:r w:rsidR="00830443" w:rsidRPr="007F1A46">
        <w:rPr>
          <w:sz w:val="28"/>
          <w:szCs w:val="28"/>
        </w:rPr>
        <w:t xml:space="preserve">could only be removed by the tenant with the landlord’s permission </w:t>
      </w:r>
      <w:r w:rsidR="004944A5" w:rsidRPr="007F1A46">
        <w:rPr>
          <w:sz w:val="28"/>
          <w:szCs w:val="28"/>
        </w:rPr>
        <w:t xml:space="preserve">but which </w:t>
      </w:r>
      <w:r w:rsidR="00C62CB5" w:rsidRPr="007F1A46">
        <w:rPr>
          <w:sz w:val="28"/>
          <w:szCs w:val="28"/>
        </w:rPr>
        <w:t xml:space="preserve">in this case was </w:t>
      </w:r>
      <w:r w:rsidR="000F3BE1" w:rsidRPr="007F1A46">
        <w:rPr>
          <w:sz w:val="28"/>
          <w:szCs w:val="28"/>
        </w:rPr>
        <w:t xml:space="preserve">refused </w:t>
      </w:r>
      <w:r w:rsidR="004944A5" w:rsidRPr="007F1A46">
        <w:rPr>
          <w:sz w:val="28"/>
          <w:szCs w:val="28"/>
        </w:rPr>
        <w:t>by the landlord</w:t>
      </w:r>
      <w:r w:rsidR="00C62CB5" w:rsidRPr="007F1A46">
        <w:rPr>
          <w:sz w:val="28"/>
          <w:szCs w:val="28"/>
        </w:rPr>
        <w:t>. T</w:t>
      </w:r>
      <w:r w:rsidR="004944A5" w:rsidRPr="007F1A46">
        <w:rPr>
          <w:sz w:val="28"/>
          <w:szCs w:val="28"/>
        </w:rPr>
        <w:t xml:space="preserve">his arrangement </w:t>
      </w:r>
      <w:r w:rsidR="00C62CB5" w:rsidRPr="007F1A46">
        <w:rPr>
          <w:sz w:val="28"/>
          <w:szCs w:val="28"/>
        </w:rPr>
        <w:t xml:space="preserve">which was </w:t>
      </w:r>
      <w:r w:rsidR="004944A5" w:rsidRPr="007F1A46">
        <w:rPr>
          <w:sz w:val="28"/>
          <w:szCs w:val="28"/>
        </w:rPr>
        <w:t xml:space="preserve">freely agreed to by the parties </w:t>
      </w:r>
      <w:r w:rsidR="00C62CB5" w:rsidRPr="007F1A46">
        <w:rPr>
          <w:sz w:val="28"/>
          <w:szCs w:val="28"/>
        </w:rPr>
        <w:t xml:space="preserve">was considered by the court to have </w:t>
      </w:r>
      <w:r w:rsidR="00830443" w:rsidRPr="007F1A46">
        <w:rPr>
          <w:sz w:val="28"/>
          <w:szCs w:val="28"/>
        </w:rPr>
        <w:t xml:space="preserve">reversed the </w:t>
      </w:r>
      <w:r w:rsidR="000F3BE1" w:rsidRPr="007F1A46">
        <w:rPr>
          <w:sz w:val="28"/>
          <w:szCs w:val="28"/>
        </w:rPr>
        <w:t xml:space="preserve">common law position and </w:t>
      </w:r>
      <w:r w:rsidR="004944A5" w:rsidRPr="007F1A46">
        <w:rPr>
          <w:sz w:val="28"/>
          <w:szCs w:val="28"/>
        </w:rPr>
        <w:t xml:space="preserve">the court </w:t>
      </w:r>
      <w:r w:rsidR="00C62CB5" w:rsidRPr="007F1A46">
        <w:rPr>
          <w:sz w:val="28"/>
          <w:szCs w:val="28"/>
        </w:rPr>
        <w:t xml:space="preserve">thus </w:t>
      </w:r>
      <w:r w:rsidR="000F3BE1" w:rsidRPr="007F1A46">
        <w:rPr>
          <w:sz w:val="28"/>
          <w:szCs w:val="28"/>
        </w:rPr>
        <w:t>a</w:t>
      </w:r>
      <w:r w:rsidR="00830443" w:rsidRPr="007F1A46">
        <w:rPr>
          <w:sz w:val="28"/>
          <w:szCs w:val="28"/>
        </w:rPr>
        <w:t xml:space="preserve">ccordingly </w:t>
      </w:r>
      <w:r w:rsidR="004944A5" w:rsidRPr="007F1A46">
        <w:rPr>
          <w:sz w:val="28"/>
          <w:szCs w:val="28"/>
        </w:rPr>
        <w:t>dismissed Clemmer</w:t>
      </w:r>
      <w:r w:rsidR="00C62CB5" w:rsidRPr="007F1A46">
        <w:rPr>
          <w:sz w:val="28"/>
          <w:szCs w:val="28"/>
        </w:rPr>
        <w:t>’</w:t>
      </w:r>
      <w:r w:rsidR="004944A5" w:rsidRPr="007F1A46">
        <w:rPr>
          <w:sz w:val="28"/>
          <w:szCs w:val="28"/>
        </w:rPr>
        <w:t>s case.</w:t>
      </w:r>
    </w:p>
    <w:p w:rsidR="005B4FA8" w:rsidRPr="007F1A46" w:rsidRDefault="00775409" w:rsidP="00E3092D">
      <w:pPr>
        <w:spacing w:line="480" w:lineRule="auto"/>
        <w:jc w:val="both"/>
        <w:rPr>
          <w:sz w:val="28"/>
          <w:szCs w:val="28"/>
        </w:rPr>
      </w:pPr>
      <w:r w:rsidRPr="007F1A46">
        <w:rPr>
          <w:sz w:val="28"/>
          <w:szCs w:val="28"/>
        </w:rPr>
        <w:t xml:space="preserve">Another case which similarly followed this position was that of </w:t>
      </w:r>
      <w:r w:rsidR="005B4FA8" w:rsidRPr="007F1A46">
        <w:rPr>
          <w:b/>
          <w:sz w:val="28"/>
          <w:szCs w:val="28"/>
        </w:rPr>
        <w:t xml:space="preserve">Vopak Terminal Darwin Pty Ltd v Natural Fuels Darwin Pty Ltd (subject </w:t>
      </w:r>
      <w:r w:rsidR="009E580E" w:rsidRPr="007F1A46">
        <w:rPr>
          <w:b/>
          <w:sz w:val="28"/>
          <w:szCs w:val="28"/>
        </w:rPr>
        <w:t>to Deed of Company Arrangement)</w:t>
      </w:r>
      <w:r w:rsidR="005B4FA8" w:rsidRPr="007F1A46">
        <w:rPr>
          <w:b/>
          <w:sz w:val="28"/>
          <w:szCs w:val="28"/>
        </w:rPr>
        <w:t>[2009] FCA 742</w:t>
      </w:r>
      <w:r w:rsidR="00896990" w:rsidRPr="007F1A46">
        <w:rPr>
          <w:sz w:val="28"/>
          <w:szCs w:val="28"/>
        </w:rPr>
        <w:t xml:space="preserve">) a </w:t>
      </w:r>
      <w:r w:rsidRPr="007F1A46">
        <w:rPr>
          <w:sz w:val="28"/>
          <w:szCs w:val="28"/>
        </w:rPr>
        <w:t xml:space="preserve">where </w:t>
      </w:r>
      <w:r w:rsidR="005B4FA8" w:rsidRPr="007F1A46">
        <w:rPr>
          <w:sz w:val="28"/>
          <w:szCs w:val="28"/>
        </w:rPr>
        <w:t>Natural Fuels</w:t>
      </w:r>
      <w:r w:rsidR="00896990" w:rsidRPr="007F1A46">
        <w:rPr>
          <w:sz w:val="28"/>
          <w:szCs w:val="28"/>
        </w:rPr>
        <w:t xml:space="preserve"> Darwin Pty Ltd had</w:t>
      </w:r>
      <w:r w:rsidR="005B4FA8" w:rsidRPr="007F1A46">
        <w:rPr>
          <w:sz w:val="28"/>
          <w:szCs w:val="28"/>
        </w:rPr>
        <w:t xml:space="preserve"> built a large</w:t>
      </w:r>
      <w:r w:rsidR="00271902" w:rsidRPr="007F1A46">
        <w:rPr>
          <w:sz w:val="28"/>
          <w:szCs w:val="28"/>
        </w:rPr>
        <w:t xml:space="preserve"> </w:t>
      </w:r>
      <w:r w:rsidRPr="007F1A46">
        <w:rPr>
          <w:sz w:val="28"/>
          <w:szCs w:val="28"/>
        </w:rPr>
        <w:t xml:space="preserve">industrial </w:t>
      </w:r>
      <w:r w:rsidR="00271902" w:rsidRPr="007F1A46">
        <w:rPr>
          <w:sz w:val="28"/>
          <w:szCs w:val="28"/>
        </w:rPr>
        <w:t>bio diesel pla</w:t>
      </w:r>
      <w:r w:rsidR="005B4FA8" w:rsidRPr="007F1A46">
        <w:rPr>
          <w:sz w:val="28"/>
          <w:szCs w:val="28"/>
        </w:rPr>
        <w:t xml:space="preserve">nt on land it </w:t>
      </w:r>
      <w:r w:rsidR="00271902" w:rsidRPr="007F1A46">
        <w:rPr>
          <w:sz w:val="28"/>
          <w:szCs w:val="28"/>
        </w:rPr>
        <w:t xml:space="preserve">had </w:t>
      </w:r>
      <w:r w:rsidR="005B4FA8" w:rsidRPr="007F1A46">
        <w:rPr>
          <w:sz w:val="28"/>
          <w:szCs w:val="28"/>
        </w:rPr>
        <w:t>sub-leased from Vopak</w:t>
      </w:r>
      <w:r w:rsidR="00271902" w:rsidRPr="007F1A46">
        <w:rPr>
          <w:sz w:val="28"/>
          <w:szCs w:val="28"/>
        </w:rPr>
        <w:t xml:space="preserve"> Terminal Darwin Pty Ltd</w:t>
      </w:r>
      <w:r w:rsidR="005B4FA8" w:rsidRPr="007F1A46">
        <w:rPr>
          <w:sz w:val="28"/>
          <w:szCs w:val="28"/>
        </w:rPr>
        <w:t xml:space="preserve"> </w:t>
      </w:r>
      <w:r w:rsidR="00D96C6D" w:rsidRPr="007F1A46">
        <w:rPr>
          <w:sz w:val="28"/>
          <w:szCs w:val="28"/>
        </w:rPr>
        <w:t xml:space="preserve">and the plant </w:t>
      </w:r>
      <w:r w:rsidR="00271902" w:rsidRPr="007F1A46">
        <w:rPr>
          <w:sz w:val="28"/>
          <w:szCs w:val="28"/>
        </w:rPr>
        <w:t>included</w:t>
      </w:r>
      <w:r w:rsidR="005B4FA8" w:rsidRPr="007F1A46">
        <w:rPr>
          <w:sz w:val="28"/>
          <w:szCs w:val="28"/>
        </w:rPr>
        <w:t xml:space="preserve"> buildings, cooling towers, pipe work, distillation columns and underground tanks </w:t>
      </w:r>
      <w:r w:rsidR="00D96C6D" w:rsidRPr="007F1A46">
        <w:rPr>
          <w:sz w:val="28"/>
          <w:szCs w:val="28"/>
        </w:rPr>
        <w:t>which</w:t>
      </w:r>
      <w:r w:rsidR="00271902" w:rsidRPr="007F1A46">
        <w:rPr>
          <w:sz w:val="28"/>
          <w:szCs w:val="28"/>
        </w:rPr>
        <w:t xml:space="preserve"> </w:t>
      </w:r>
      <w:r w:rsidR="005B4FA8" w:rsidRPr="007F1A46">
        <w:rPr>
          <w:sz w:val="28"/>
          <w:szCs w:val="28"/>
        </w:rPr>
        <w:t xml:space="preserve">cost </w:t>
      </w:r>
      <w:r w:rsidR="000A4868" w:rsidRPr="007F1A46">
        <w:rPr>
          <w:sz w:val="28"/>
          <w:szCs w:val="28"/>
        </w:rPr>
        <w:t>more than</w:t>
      </w:r>
      <w:r w:rsidR="005B4FA8" w:rsidRPr="007F1A46">
        <w:rPr>
          <w:sz w:val="28"/>
          <w:szCs w:val="28"/>
        </w:rPr>
        <w:t xml:space="preserve"> </w:t>
      </w:r>
      <w:r w:rsidR="00271902" w:rsidRPr="007F1A46">
        <w:rPr>
          <w:sz w:val="28"/>
          <w:szCs w:val="28"/>
        </w:rPr>
        <w:t>United States Dollars Eighty Million US$</w:t>
      </w:r>
      <w:r w:rsidR="005B4FA8" w:rsidRPr="007F1A46">
        <w:rPr>
          <w:sz w:val="28"/>
          <w:szCs w:val="28"/>
        </w:rPr>
        <w:t>80</w:t>
      </w:r>
      <w:r w:rsidR="00271902" w:rsidRPr="007F1A46">
        <w:rPr>
          <w:sz w:val="28"/>
          <w:szCs w:val="28"/>
        </w:rPr>
        <w:t xml:space="preserve">,000,000.00). </w:t>
      </w:r>
      <w:r w:rsidR="000A4868" w:rsidRPr="007F1A46">
        <w:rPr>
          <w:sz w:val="28"/>
          <w:szCs w:val="28"/>
        </w:rPr>
        <w:t>Under t</w:t>
      </w:r>
      <w:r w:rsidR="00271902" w:rsidRPr="007F1A46">
        <w:rPr>
          <w:sz w:val="28"/>
          <w:szCs w:val="28"/>
        </w:rPr>
        <w:t xml:space="preserve">he </w:t>
      </w:r>
      <w:r w:rsidR="005B4FA8" w:rsidRPr="007F1A46">
        <w:rPr>
          <w:sz w:val="28"/>
          <w:szCs w:val="28"/>
        </w:rPr>
        <w:t>lease provision dealing with f</w:t>
      </w:r>
      <w:r w:rsidR="000A4868" w:rsidRPr="007F1A46">
        <w:rPr>
          <w:sz w:val="28"/>
          <w:szCs w:val="28"/>
        </w:rPr>
        <w:t xml:space="preserve">ixtures provided in clause 13.1, it was agreed to by the parties </w:t>
      </w:r>
      <w:r w:rsidR="005B4FA8" w:rsidRPr="007F1A46">
        <w:rPr>
          <w:sz w:val="28"/>
          <w:szCs w:val="28"/>
        </w:rPr>
        <w:t xml:space="preserve">that on or before the </w:t>
      </w:r>
      <w:r w:rsidR="00707CC5" w:rsidRPr="007F1A46">
        <w:rPr>
          <w:sz w:val="28"/>
          <w:szCs w:val="28"/>
        </w:rPr>
        <w:t xml:space="preserve">lease </w:t>
      </w:r>
      <w:r w:rsidR="005B4FA8" w:rsidRPr="007F1A46">
        <w:rPr>
          <w:sz w:val="28"/>
          <w:szCs w:val="28"/>
        </w:rPr>
        <w:t>termination date</w:t>
      </w:r>
      <w:r w:rsidR="00271902" w:rsidRPr="007F1A46">
        <w:rPr>
          <w:sz w:val="28"/>
          <w:szCs w:val="28"/>
        </w:rPr>
        <w:t xml:space="preserve">, </w:t>
      </w:r>
      <w:r w:rsidR="005B4FA8" w:rsidRPr="007F1A46">
        <w:rPr>
          <w:sz w:val="28"/>
          <w:szCs w:val="28"/>
        </w:rPr>
        <w:t xml:space="preserve">Natural </w:t>
      </w:r>
      <w:r w:rsidR="005E449C" w:rsidRPr="007F1A46">
        <w:rPr>
          <w:sz w:val="28"/>
          <w:szCs w:val="28"/>
        </w:rPr>
        <w:t>Fuels Darwin</w:t>
      </w:r>
      <w:r w:rsidR="00707CC5" w:rsidRPr="007F1A46">
        <w:rPr>
          <w:sz w:val="28"/>
          <w:szCs w:val="28"/>
        </w:rPr>
        <w:t xml:space="preserve"> Pty Ltd </w:t>
      </w:r>
      <w:r w:rsidR="00E32BAB" w:rsidRPr="007F1A46">
        <w:rPr>
          <w:sz w:val="28"/>
          <w:szCs w:val="28"/>
        </w:rPr>
        <w:t xml:space="preserve">would at its </w:t>
      </w:r>
      <w:r w:rsidR="00707CC5" w:rsidRPr="007F1A46">
        <w:rPr>
          <w:sz w:val="28"/>
          <w:szCs w:val="28"/>
        </w:rPr>
        <w:t xml:space="preserve">own </w:t>
      </w:r>
      <w:r w:rsidR="00E32BAB" w:rsidRPr="007F1A46">
        <w:rPr>
          <w:sz w:val="28"/>
          <w:szCs w:val="28"/>
        </w:rPr>
        <w:t xml:space="preserve">cost </w:t>
      </w:r>
      <w:r w:rsidR="005B4FA8" w:rsidRPr="007F1A46">
        <w:rPr>
          <w:sz w:val="28"/>
          <w:szCs w:val="28"/>
        </w:rPr>
        <w:t xml:space="preserve">remove </w:t>
      </w:r>
      <w:r w:rsidR="00707CC5" w:rsidRPr="007F1A46">
        <w:rPr>
          <w:sz w:val="28"/>
          <w:szCs w:val="28"/>
        </w:rPr>
        <w:t xml:space="preserve">those fixtures </w:t>
      </w:r>
      <w:r w:rsidR="005E449C" w:rsidRPr="007F1A46">
        <w:rPr>
          <w:sz w:val="28"/>
          <w:szCs w:val="28"/>
        </w:rPr>
        <w:t xml:space="preserve">and all facilities associated with the plant’s installation </w:t>
      </w:r>
      <w:r w:rsidR="00E32BAB" w:rsidRPr="007F1A46">
        <w:rPr>
          <w:sz w:val="28"/>
          <w:szCs w:val="28"/>
        </w:rPr>
        <w:t xml:space="preserve">from </w:t>
      </w:r>
      <w:r w:rsidR="00E32BAB" w:rsidRPr="007F1A46">
        <w:rPr>
          <w:sz w:val="28"/>
          <w:szCs w:val="28"/>
        </w:rPr>
        <w:lastRenderedPageBreak/>
        <w:t xml:space="preserve">the premises </w:t>
      </w:r>
      <w:r w:rsidR="00707CC5" w:rsidRPr="007F1A46">
        <w:rPr>
          <w:sz w:val="28"/>
          <w:szCs w:val="28"/>
        </w:rPr>
        <w:t xml:space="preserve">from the </w:t>
      </w:r>
      <w:r w:rsidR="005E449C" w:rsidRPr="007F1A46">
        <w:rPr>
          <w:sz w:val="28"/>
          <w:szCs w:val="28"/>
        </w:rPr>
        <w:t xml:space="preserve">property. Further </w:t>
      </w:r>
      <w:r w:rsidR="005B4FA8" w:rsidRPr="007F1A46">
        <w:rPr>
          <w:sz w:val="28"/>
          <w:szCs w:val="28"/>
        </w:rPr>
        <w:t>Clause 13.2</w:t>
      </w:r>
      <w:r w:rsidR="005B4FA8" w:rsidRPr="007F1A46">
        <w:rPr>
          <w:b/>
          <w:sz w:val="28"/>
          <w:szCs w:val="28"/>
        </w:rPr>
        <w:t xml:space="preserve"> </w:t>
      </w:r>
      <w:r w:rsidR="005B4FA8" w:rsidRPr="007F1A46">
        <w:rPr>
          <w:sz w:val="28"/>
          <w:szCs w:val="28"/>
        </w:rPr>
        <w:t xml:space="preserve">of the </w:t>
      </w:r>
      <w:r w:rsidR="00E3092D" w:rsidRPr="007F1A46">
        <w:rPr>
          <w:sz w:val="28"/>
          <w:szCs w:val="28"/>
        </w:rPr>
        <w:t>same provid</w:t>
      </w:r>
      <w:r w:rsidR="005E449C" w:rsidRPr="007F1A46">
        <w:rPr>
          <w:sz w:val="28"/>
          <w:szCs w:val="28"/>
        </w:rPr>
        <w:t>ed</w:t>
      </w:r>
      <w:r w:rsidR="00E3092D" w:rsidRPr="007F1A46">
        <w:rPr>
          <w:sz w:val="28"/>
          <w:szCs w:val="28"/>
        </w:rPr>
        <w:t xml:space="preserve"> that if N</w:t>
      </w:r>
      <w:r w:rsidR="005B4FA8" w:rsidRPr="007F1A46">
        <w:rPr>
          <w:sz w:val="28"/>
          <w:szCs w:val="28"/>
        </w:rPr>
        <w:t xml:space="preserve">atural Fuels </w:t>
      </w:r>
      <w:r w:rsidR="005E449C" w:rsidRPr="007F1A46">
        <w:rPr>
          <w:sz w:val="28"/>
          <w:szCs w:val="28"/>
        </w:rPr>
        <w:t xml:space="preserve">were </w:t>
      </w:r>
      <w:r w:rsidR="005B4FA8" w:rsidRPr="007F1A46">
        <w:rPr>
          <w:sz w:val="28"/>
          <w:szCs w:val="28"/>
        </w:rPr>
        <w:t xml:space="preserve">not </w:t>
      </w:r>
      <w:r w:rsidR="005E449C" w:rsidRPr="007F1A46">
        <w:rPr>
          <w:sz w:val="28"/>
          <w:szCs w:val="28"/>
        </w:rPr>
        <w:t xml:space="preserve">to </w:t>
      </w:r>
      <w:r w:rsidR="005B4FA8" w:rsidRPr="007F1A46">
        <w:rPr>
          <w:sz w:val="28"/>
          <w:szCs w:val="28"/>
        </w:rPr>
        <w:t xml:space="preserve">remove its property within three months of the </w:t>
      </w:r>
      <w:r w:rsidR="00E3092D" w:rsidRPr="007F1A46">
        <w:rPr>
          <w:sz w:val="28"/>
          <w:szCs w:val="28"/>
        </w:rPr>
        <w:t xml:space="preserve">termination date then </w:t>
      </w:r>
      <w:r w:rsidR="005B4FA8" w:rsidRPr="007F1A46">
        <w:rPr>
          <w:sz w:val="28"/>
          <w:szCs w:val="28"/>
        </w:rPr>
        <w:t>Vopak</w:t>
      </w:r>
      <w:r w:rsidR="00E3092D" w:rsidRPr="007F1A46">
        <w:rPr>
          <w:sz w:val="28"/>
          <w:szCs w:val="28"/>
        </w:rPr>
        <w:t xml:space="preserve"> could remove N</w:t>
      </w:r>
      <w:r w:rsidR="005B4FA8" w:rsidRPr="007F1A46">
        <w:rPr>
          <w:sz w:val="28"/>
          <w:szCs w:val="28"/>
        </w:rPr>
        <w:t>atural Fuel’s property and dispose it at the cost</w:t>
      </w:r>
      <w:r w:rsidR="00E3092D" w:rsidRPr="007F1A46">
        <w:rPr>
          <w:sz w:val="28"/>
          <w:szCs w:val="28"/>
        </w:rPr>
        <w:t xml:space="preserve"> and the risk of Natural Fuels </w:t>
      </w:r>
      <w:r w:rsidR="005B4FA8" w:rsidRPr="007F1A46">
        <w:rPr>
          <w:sz w:val="28"/>
          <w:szCs w:val="28"/>
        </w:rPr>
        <w:t>or</w:t>
      </w:r>
      <w:r w:rsidR="00E3092D" w:rsidRPr="007F1A46">
        <w:rPr>
          <w:sz w:val="28"/>
          <w:szCs w:val="28"/>
        </w:rPr>
        <w:t xml:space="preserve"> d</w:t>
      </w:r>
      <w:r w:rsidR="005B4FA8" w:rsidRPr="007F1A46">
        <w:rPr>
          <w:sz w:val="28"/>
          <w:szCs w:val="28"/>
        </w:rPr>
        <w:t xml:space="preserve">eal with </w:t>
      </w:r>
      <w:r w:rsidR="00E32BAB" w:rsidRPr="007F1A46">
        <w:rPr>
          <w:sz w:val="28"/>
          <w:szCs w:val="28"/>
        </w:rPr>
        <w:t>those</w:t>
      </w:r>
      <w:r w:rsidR="005B4FA8" w:rsidRPr="007F1A46">
        <w:rPr>
          <w:sz w:val="28"/>
          <w:szCs w:val="28"/>
        </w:rPr>
        <w:t xml:space="preserve"> propert</w:t>
      </w:r>
      <w:r w:rsidR="00E32BAB" w:rsidRPr="007F1A46">
        <w:rPr>
          <w:sz w:val="28"/>
          <w:szCs w:val="28"/>
        </w:rPr>
        <w:t xml:space="preserve">ies </w:t>
      </w:r>
      <w:r w:rsidR="005B4FA8" w:rsidRPr="007F1A46">
        <w:rPr>
          <w:sz w:val="28"/>
          <w:szCs w:val="28"/>
        </w:rPr>
        <w:t>as if it were the</w:t>
      </w:r>
      <w:r w:rsidR="00E32BAB" w:rsidRPr="007F1A46">
        <w:rPr>
          <w:sz w:val="28"/>
          <w:szCs w:val="28"/>
        </w:rPr>
        <w:t xml:space="preserve">irs. </w:t>
      </w:r>
      <w:r w:rsidR="00E3092D" w:rsidRPr="007F1A46">
        <w:rPr>
          <w:sz w:val="28"/>
          <w:szCs w:val="28"/>
        </w:rPr>
        <w:t xml:space="preserve">The lease </w:t>
      </w:r>
      <w:r w:rsidR="005E449C" w:rsidRPr="007F1A46">
        <w:rPr>
          <w:sz w:val="28"/>
          <w:szCs w:val="28"/>
        </w:rPr>
        <w:t xml:space="preserve">eventually got </w:t>
      </w:r>
      <w:r w:rsidR="00E3092D" w:rsidRPr="007F1A46">
        <w:rPr>
          <w:sz w:val="28"/>
          <w:szCs w:val="28"/>
        </w:rPr>
        <w:t>terminated after N</w:t>
      </w:r>
      <w:r w:rsidR="005B4FA8" w:rsidRPr="007F1A46">
        <w:rPr>
          <w:sz w:val="28"/>
          <w:szCs w:val="28"/>
        </w:rPr>
        <w:t>atural F</w:t>
      </w:r>
      <w:r w:rsidR="005E449C" w:rsidRPr="007F1A46">
        <w:rPr>
          <w:sz w:val="28"/>
          <w:szCs w:val="28"/>
        </w:rPr>
        <w:t xml:space="preserve">uels went into administration. </w:t>
      </w:r>
      <w:r w:rsidR="005B4FA8" w:rsidRPr="007F1A46">
        <w:rPr>
          <w:sz w:val="28"/>
          <w:szCs w:val="28"/>
        </w:rPr>
        <w:t xml:space="preserve">Vopak </w:t>
      </w:r>
      <w:r w:rsidR="005E449C" w:rsidRPr="007F1A46">
        <w:rPr>
          <w:sz w:val="28"/>
          <w:szCs w:val="28"/>
        </w:rPr>
        <w:t xml:space="preserve">on its part </w:t>
      </w:r>
      <w:r w:rsidR="00E3092D" w:rsidRPr="007F1A46">
        <w:rPr>
          <w:sz w:val="28"/>
          <w:szCs w:val="28"/>
        </w:rPr>
        <w:t>reminded Natural Fuels’ a</w:t>
      </w:r>
      <w:r w:rsidR="005B4FA8" w:rsidRPr="007F1A46">
        <w:rPr>
          <w:sz w:val="28"/>
          <w:szCs w:val="28"/>
        </w:rPr>
        <w:t xml:space="preserve">dministrator </w:t>
      </w:r>
      <w:r w:rsidR="00410C46" w:rsidRPr="007F1A46">
        <w:rPr>
          <w:sz w:val="28"/>
          <w:szCs w:val="28"/>
        </w:rPr>
        <w:t xml:space="preserve">on the terms of the lease agreement which required the removal of </w:t>
      </w:r>
      <w:r w:rsidR="005B4FA8" w:rsidRPr="007F1A46">
        <w:rPr>
          <w:sz w:val="28"/>
          <w:szCs w:val="28"/>
        </w:rPr>
        <w:t>the fixtures within th</w:t>
      </w:r>
      <w:r w:rsidR="00E3092D" w:rsidRPr="007F1A46">
        <w:rPr>
          <w:sz w:val="28"/>
          <w:szCs w:val="28"/>
        </w:rPr>
        <w:t>ree months of the termina</w:t>
      </w:r>
      <w:r w:rsidR="00E32BAB" w:rsidRPr="007F1A46">
        <w:rPr>
          <w:sz w:val="28"/>
          <w:szCs w:val="28"/>
        </w:rPr>
        <w:t>tion</w:t>
      </w:r>
      <w:r w:rsidR="00410C46" w:rsidRPr="007F1A46">
        <w:rPr>
          <w:sz w:val="28"/>
          <w:szCs w:val="28"/>
        </w:rPr>
        <w:t xml:space="preserve"> of the lease</w:t>
      </w:r>
      <w:r w:rsidR="00E32BAB" w:rsidRPr="007F1A46">
        <w:rPr>
          <w:sz w:val="28"/>
          <w:szCs w:val="28"/>
        </w:rPr>
        <w:t xml:space="preserve">. </w:t>
      </w:r>
      <w:r w:rsidR="00410C46" w:rsidRPr="007F1A46">
        <w:rPr>
          <w:sz w:val="28"/>
          <w:szCs w:val="28"/>
        </w:rPr>
        <w:t xml:space="preserve">Furthermore </w:t>
      </w:r>
      <w:r w:rsidR="005B4FA8" w:rsidRPr="007F1A46">
        <w:rPr>
          <w:sz w:val="28"/>
          <w:szCs w:val="28"/>
        </w:rPr>
        <w:t xml:space="preserve">Vopak </w:t>
      </w:r>
      <w:r w:rsidR="00E3092D" w:rsidRPr="007F1A46">
        <w:rPr>
          <w:sz w:val="28"/>
          <w:szCs w:val="28"/>
        </w:rPr>
        <w:t xml:space="preserve">even </w:t>
      </w:r>
      <w:r w:rsidR="005B4FA8" w:rsidRPr="007F1A46">
        <w:rPr>
          <w:sz w:val="28"/>
          <w:szCs w:val="28"/>
        </w:rPr>
        <w:t xml:space="preserve">gave </w:t>
      </w:r>
      <w:r w:rsidR="009345FE" w:rsidRPr="007F1A46">
        <w:rPr>
          <w:sz w:val="28"/>
          <w:szCs w:val="28"/>
        </w:rPr>
        <w:t>Natural Fuel’s</w:t>
      </w:r>
      <w:r w:rsidR="005B4FA8" w:rsidRPr="007F1A46">
        <w:rPr>
          <w:sz w:val="28"/>
          <w:szCs w:val="28"/>
        </w:rPr>
        <w:t xml:space="preserve"> adm</w:t>
      </w:r>
      <w:r w:rsidR="00E3092D" w:rsidRPr="007F1A46">
        <w:rPr>
          <w:sz w:val="28"/>
          <w:szCs w:val="28"/>
        </w:rPr>
        <w:t xml:space="preserve">inistrator </w:t>
      </w:r>
      <w:r w:rsidR="009345FE" w:rsidRPr="007F1A46">
        <w:rPr>
          <w:sz w:val="28"/>
          <w:szCs w:val="28"/>
        </w:rPr>
        <w:t xml:space="preserve">an </w:t>
      </w:r>
      <w:r w:rsidR="00410C46" w:rsidRPr="007F1A46">
        <w:rPr>
          <w:sz w:val="28"/>
          <w:szCs w:val="28"/>
        </w:rPr>
        <w:t xml:space="preserve">extra </w:t>
      </w:r>
      <w:r w:rsidR="00E3092D" w:rsidRPr="007F1A46">
        <w:rPr>
          <w:sz w:val="28"/>
          <w:szCs w:val="28"/>
        </w:rPr>
        <w:t xml:space="preserve">extension of time to sell the fixtures </w:t>
      </w:r>
      <w:r w:rsidR="009345FE" w:rsidRPr="007F1A46">
        <w:rPr>
          <w:sz w:val="28"/>
          <w:szCs w:val="28"/>
        </w:rPr>
        <w:t xml:space="preserve">but </w:t>
      </w:r>
      <w:r w:rsidR="00410C46" w:rsidRPr="007F1A46">
        <w:rPr>
          <w:sz w:val="28"/>
          <w:szCs w:val="28"/>
        </w:rPr>
        <w:t xml:space="preserve">no action was taken with even </w:t>
      </w:r>
      <w:r w:rsidR="009345FE" w:rsidRPr="007F1A46">
        <w:rPr>
          <w:sz w:val="28"/>
          <w:szCs w:val="28"/>
        </w:rPr>
        <w:t xml:space="preserve">the extended time </w:t>
      </w:r>
      <w:r w:rsidR="005B4FA8" w:rsidRPr="007F1A46">
        <w:rPr>
          <w:sz w:val="28"/>
          <w:szCs w:val="28"/>
        </w:rPr>
        <w:t>r</w:t>
      </w:r>
      <w:r w:rsidR="00410C46" w:rsidRPr="007F1A46">
        <w:rPr>
          <w:sz w:val="28"/>
          <w:szCs w:val="28"/>
        </w:rPr>
        <w:t xml:space="preserve">unning </w:t>
      </w:r>
      <w:r w:rsidR="005B4FA8" w:rsidRPr="007F1A46">
        <w:rPr>
          <w:sz w:val="28"/>
          <w:szCs w:val="28"/>
        </w:rPr>
        <w:t xml:space="preserve">out. Vopak </w:t>
      </w:r>
      <w:r w:rsidR="009345FE" w:rsidRPr="007F1A46">
        <w:rPr>
          <w:sz w:val="28"/>
          <w:szCs w:val="28"/>
        </w:rPr>
        <w:t xml:space="preserve">was </w:t>
      </w:r>
      <w:r w:rsidR="00410C46" w:rsidRPr="007F1A46">
        <w:rPr>
          <w:sz w:val="28"/>
          <w:szCs w:val="28"/>
        </w:rPr>
        <w:t xml:space="preserve">thus </w:t>
      </w:r>
      <w:r w:rsidR="009345FE" w:rsidRPr="007F1A46">
        <w:rPr>
          <w:sz w:val="28"/>
          <w:szCs w:val="28"/>
        </w:rPr>
        <w:t>forced to apply to c</w:t>
      </w:r>
      <w:r w:rsidR="005B4FA8" w:rsidRPr="007F1A46">
        <w:rPr>
          <w:sz w:val="28"/>
          <w:szCs w:val="28"/>
        </w:rPr>
        <w:t xml:space="preserve">ourt for a declaration that it had the right to deal with Natural Fuel’s Property as if </w:t>
      </w:r>
      <w:r w:rsidR="009345FE" w:rsidRPr="007F1A46">
        <w:rPr>
          <w:sz w:val="28"/>
          <w:szCs w:val="28"/>
        </w:rPr>
        <w:t>they were</w:t>
      </w:r>
      <w:r w:rsidR="005B4FA8" w:rsidRPr="007F1A46">
        <w:rPr>
          <w:b/>
          <w:sz w:val="28"/>
          <w:szCs w:val="28"/>
        </w:rPr>
        <w:t xml:space="preserve"> </w:t>
      </w:r>
      <w:r w:rsidR="00E3092D" w:rsidRPr="007F1A46">
        <w:rPr>
          <w:sz w:val="28"/>
          <w:szCs w:val="28"/>
        </w:rPr>
        <w:t>its</w:t>
      </w:r>
      <w:r w:rsidR="005B4FA8" w:rsidRPr="007F1A46">
        <w:rPr>
          <w:sz w:val="28"/>
          <w:szCs w:val="28"/>
        </w:rPr>
        <w:t xml:space="preserve"> property</w:t>
      </w:r>
      <w:r w:rsidR="00410C46" w:rsidRPr="007F1A46">
        <w:rPr>
          <w:sz w:val="28"/>
          <w:szCs w:val="28"/>
        </w:rPr>
        <w:t xml:space="preserve"> and indeed the </w:t>
      </w:r>
      <w:r w:rsidR="00E3092D" w:rsidRPr="007F1A46">
        <w:rPr>
          <w:sz w:val="28"/>
          <w:szCs w:val="28"/>
        </w:rPr>
        <w:t>court held</w:t>
      </w:r>
      <w:r w:rsidR="005B4FA8" w:rsidRPr="007F1A46">
        <w:rPr>
          <w:sz w:val="28"/>
          <w:szCs w:val="28"/>
        </w:rPr>
        <w:t xml:space="preserve"> </w:t>
      </w:r>
      <w:r w:rsidR="00410C46" w:rsidRPr="007F1A46">
        <w:rPr>
          <w:sz w:val="28"/>
          <w:szCs w:val="28"/>
        </w:rPr>
        <w:t xml:space="preserve">that it </w:t>
      </w:r>
      <w:r w:rsidR="005B4FA8" w:rsidRPr="007F1A46">
        <w:rPr>
          <w:sz w:val="28"/>
          <w:szCs w:val="28"/>
        </w:rPr>
        <w:t xml:space="preserve"> </w:t>
      </w:r>
      <w:r w:rsidR="00E3092D" w:rsidRPr="007F1A46">
        <w:rPr>
          <w:sz w:val="28"/>
          <w:szCs w:val="28"/>
        </w:rPr>
        <w:t>could deal with N</w:t>
      </w:r>
      <w:r w:rsidR="005B4FA8" w:rsidRPr="007F1A46">
        <w:rPr>
          <w:sz w:val="28"/>
          <w:szCs w:val="28"/>
        </w:rPr>
        <w:t xml:space="preserve">atural Fuel’s property as if it were its own property </w:t>
      </w:r>
      <w:r w:rsidR="009345FE" w:rsidRPr="007F1A46">
        <w:rPr>
          <w:sz w:val="28"/>
          <w:szCs w:val="28"/>
        </w:rPr>
        <w:t xml:space="preserve">on the basis </w:t>
      </w:r>
      <w:r w:rsidR="00410C46" w:rsidRPr="007F1A46">
        <w:rPr>
          <w:sz w:val="28"/>
          <w:szCs w:val="28"/>
        </w:rPr>
        <w:t xml:space="preserve">of the lease agreement holding </w:t>
      </w:r>
      <w:r w:rsidR="00E3092D" w:rsidRPr="007F1A46">
        <w:rPr>
          <w:sz w:val="28"/>
          <w:szCs w:val="28"/>
        </w:rPr>
        <w:t>that a</w:t>
      </w:r>
      <w:r w:rsidR="005B4FA8" w:rsidRPr="007F1A46">
        <w:rPr>
          <w:sz w:val="28"/>
          <w:szCs w:val="28"/>
        </w:rPr>
        <w:t>nything fixed to the land bec</w:t>
      </w:r>
      <w:r w:rsidR="002105D0" w:rsidRPr="007F1A46">
        <w:rPr>
          <w:sz w:val="28"/>
          <w:szCs w:val="28"/>
        </w:rPr>
        <w:t>ame</w:t>
      </w:r>
      <w:r w:rsidR="005B4FA8" w:rsidRPr="007F1A46">
        <w:rPr>
          <w:sz w:val="28"/>
          <w:szCs w:val="28"/>
        </w:rPr>
        <w:t xml:space="preserve"> part of the l</w:t>
      </w:r>
      <w:r w:rsidR="00E3092D" w:rsidRPr="007F1A46">
        <w:rPr>
          <w:sz w:val="28"/>
          <w:szCs w:val="28"/>
        </w:rPr>
        <w:t>and</w:t>
      </w:r>
      <w:r w:rsidR="005B4FA8" w:rsidRPr="007F1A46">
        <w:rPr>
          <w:sz w:val="28"/>
          <w:szCs w:val="28"/>
        </w:rPr>
        <w:t xml:space="preserve"> and </w:t>
      </w:r>
      <w:r w:rsidR="009345FE" w:rsidRPr="007F1A46">
        <w:rPr>
          <w:sz w:val="28"/>
          <w:szCs w:val="28"/>
        </w:rPr>
        <w:t xml:space="preserve">would remain so </w:t>
      </w:r>
      <w:r w:rsidR="005B4FA8" w:rsidRPr="007F1A46">
        <w:rPr>
          <w:sz w:val="28"/>
          <w:szCs w:val="28"/>
        </w:rPr>
        <w:t>unti</w:t>
      </w:r>
      <w:r w:rsidR="002105D0" w:rsidRPr="007F1A46">
        <w:rPr>
          <w:sz w:val="28"/>
          <w:szCs w:val="28"/>
        </w:rPr>
        <w:t>l it wa</w:t>
      </w:r>
      <w:r w:rsidR="009345FE" w:rsidRPr="007F1A46">
        <w:rPr>
          <w:sz w:val="28"/>
          <w:szCs w:val="28"/>
        </w:rPr>
        <w:t xml:space="preserve">s detached from the land </w:t>
      </w:r>
      <w:r w:rsidR="00E3092D" w:rsidRPr="007F1A46">
        <w:rPr>
          <w:sz w:val="28"/>
          <w:szCs w:val="28"/>
        </w:rPr>
        <w:t xml:space="preserve">and </w:t>
      </w:r>
      <w:r w:rsidR="009345FE" w:rsidRPr="007F1A46">
        <w:rPr>
          <w:sz w:val="28"/>
          <w:szCs w:val="28"/>
        </w:rPr>
        <w:t xml:space="preserve">that </w:t>
      </w:r>
      <w:r w:rsidR="00E3092D" w:rsidRPr="007F1A46">
        <w:rPr>
          <w:sz w:val="28"/>
          <w:szCs w:val="28"/>
        </w:rPr>
        <w:t xml:space="preserve">since </w:t>
      </w:r>
      <w:r w:rsidR="009345FE" w:rsidRPr="007F1A46">
        <w:rPr>
          <w:sz w:val="28"/>
          <w:szCs w:val="28"/>
        </w:rPr>
        <w:t>Natural Fuels</w:t>
      </w:r>
      <w:r w:rsidR="005B4FA8" w:rsidRPr="007F1A46">
        <w:rPr>
          <w:sz w:val="28"/>
          <w:szCs w:val="28"/>
        </w:rPr>
        <w:t xml:space="preserve"> did not exercise its right to detach its fixtures and p</w:t>
      </w:r>
      <w:r w:rsidR="00E3092D" w:rsidRPr="007F1A46">
        <w:rPr>
          <w:sz w:val="28"/>
          <w:szCs w:val="28"/>
        </w:rPr>
        <w:t xml:space="preserve">roperty </w:t>
      </w:r>
      <w:r w:rsidR="009345FE" w:rsidRPr="007F1A46">
        <w:rPr>
          <w:sz w:val="28"/>
          <w:szCs w:val="28"/>
        </w:rPr>
        <w:t>from the land within the time provided th</w:t>
      </w:r>
      <w:r w:rsidR="002105D0" w:rsidRPr="007F1A46">
        <w:rPr>
          <w:sz w:val="28"/>
          <w:szCs w:val="28"/>
        </w:rPr>
        <w:t xml:space="preserve">en </w:t>
      </w:r>
      <w:r w:rsidR="009345FE" w:rsidRPr="007F1A46">
        <w:rPr>
          <w:sz w:val="28"/>
          <w:szCs w:val="28"/>
        </w:rPr>
        <w:t xml:space="preserve">those </w:t>
      </w:r>
      <w:r w:rsidR="002105D0" w:rsidRPr="007F1A46">
        <w:rPr>
          <w:sz w:val="28"/>
          <w:szCs w:val="28"/>
        </w:rPr>
        <w:t>fixtures became those of</w:t>
      </w:r>
      <w:r w:rsidR="00E97B59" w:rsidRPr="007F1A46">
        <w:rPr>
          <w:sz w:val="28"/>
          <w:szCs w:val="28"/>
        </w:rPr>
        <w:t xml:space="preserve"> the landlord </w:t>
      </w:r>
      <w:r w:rsidR="002105D0" w:rsidRPr="007F1A46">
        <w:rPr>
          <w:sz w:val="28"/>
          <w:szCs w:val="28"/>
        </w:rPr>
        <w:t>as</w:t>
      </w:r>
      <w:r w:rsidR="00E97B59" w:rsidRPr="007F1A46">
        <w:rPr>
          <w:sz w:val="28"/>
          <w:szCs w:val="28"/>
        </w:rPr>
        <w:t xml:space="preserve"> </w:t>
      </w:r>
      <w:r w:rsidR="00E3092D" w:rsidRPr="007F1A46">
        <w:rPr>
          <w:sz w:val="28"/>
          <w:szCs w:val="28"/>
        </w:rPr>
        <w:t>t</w:t>
      </w:r>
      <w:r w:rsidR="005B4FA8" w:rsidRPr="007F1A46">
        <w:rPr>
          <w:sz w:val="28"/>
          <w:szCs w:val="28"/>
        </w:rPr>
        <w:t xml:space="preserve">he tenant right to detach a fixture </w:t>
      </w:r>
      <w:r w:rsidR="002105D0" w:rsidRPr="007F1A46">
        <w:rPr>
          <w:sz w:val="28"/>
          <w:szCs w:val="28"/>
        </w:rPr>
        <w:t xml:space="preserve">from  a leased land was </w:t>
      </w:r>
      <w:r w:rsidR="005B4FA8" w:rsidRPr="007F1A46">
        <w:rPr>
          <w:sz w:val="28"/>
          <w:szCs w:val="28"/>
        </w:rPr>
        <w:t>an exception to its obligation to deliver up to the landlord everything t</w:t>
      </w:r>
      <w:r w:rsidR="00E3092D" w:rsidRPr="007F1A46">
        <w:rPr>
          <w:sz w:val="28"/>
          <w:szCs w:val="28"/>
        </w:rPr>
        <w:t xml:space="preserve">hat has become part of the land and </w:t>
      </w:r>
      <w:r w:rsidR="002105D0" w:rsidRPr="007F1A46">
        <w:rPr>
          <w:sz w:val="28"/>
          <w:szCs w:val="28"/>
        </w:rPr>
        <w:t xml:space="preserve">thus </w:t>
      </w:r>
      <w:r w:rsidR="00E3092D" w:rsidRPr="007F1A46">
        <w:rPr>
          <w:sz w:val="28"/>
          <w:szCs w:val="28"/>
        </w:rPr>
        <w:t>s</w:t>
      </w:r>
      <w:r w:rsidR="002105D0" w:rsidRPr="007F1A46">
        <w:rPr>
          <w:sz w:val="28"/>
          <w:szCs w:val="28"/>
        </w:rPr>
        <w:t xml:space="preserve">ince </w:t>
      </w:r>
      <w:r w:rsidR="00E3092D" w:rsidRPr="007F1A46">
        <w:rPr>
          <w:sz w:val="28"/>
          <w:szCs w:val="28"/>
        </w:rPr>
        <w:t xml:space="preserve"> </w:t>
      </w:r>
      <w:r w:rsidR="005B4FA8" w:rsidRPr="007F1A46">
        <w:rPr>
          <w:sz w:val="28"/>
          <w:szCs w:val="28"/>
        </w:rPr>
        <w:t xml:space="preserve">Natural Fuels did not remove </w:t>
      </w:r>
      <w:r w:rsidR="002105D0" w:rsidRPr="007F1A46">
        <w:rPr>
          <w:sz w:val="28"/>
          <w:szCs w:val="28"/>
        </w:rPr>
        <w:t xml:space="preserve">its </w:t>
      </w:r>
      <w:r w:rsidR="005B4FA8" w:rsidRPr="007F1A46">
        <w:rPr>
          <w:sz w:val="28"/>
          <w:szCs w:val="28"/>
        </w:rPr>
        <w:t xml:space="preserve">fixtures within the time provided in the sub-lease </w:t>
      </w:r>
      <w:r w:rsidR="005B4FA8" w:rsidRPr="007F1A46">
        <w:rPr>
          <w:sz w:val="28"/>
          <w:szCs w:val="28"/>
        </w:rPr>
        <w:lastRenderedPageBreak/>
        <w:t>(</w:t>
      </w:r>
      <w:r w:rsidR="00E3092D" w:rsidRPr="007F1A46">
        <w:rPr>
          <w:sz w:val="28"/>
          <w:szCs w:val="28"/>
        </w:rPr>
        <w:t>and as extended by agreement</w:t>
      </w:r>
      <w:r w:rsidR="005B4FA8" w:rsidRPr="007F1A46">
        <w:rPr>
          <w:sz w:val="28"/>
          <w:szCs w:val="28"/>
        </w:rPr>
        <w:t xml:space="preserve"> it ceased to be entitled to remove them and was therefore not entitled to interfere with their sale by Vopak.</w:t>
      </w:r>
    </w:p>
    <w:p w:rsidR="00033147" w:rsidRPr="007F1A46" w:rsidRDefault="00E46A26" w:rsidP="00B3498A">
      <w:pPr>
        <w:spacing w:line="480" w:lineRule="auto"/>
        <w:jc w:val="both"/>
        <w:rPr>
          <w:b/>
          <w:sz w:val="28"/>
          <w:szCs w:val="28"/>
        </w:rPr>
      </w:pPr>
      <w:r w:rsidRPr="007F1A46">
        <w:rPr>
          <w:sz w:val="28"/>
          <w:szCs w:val="28"/>
        </w:rPr>
        <w:t xml:space="preserve">The </w:t>
      </w:r>
      <w:r w:rsidR="00780E8D" w:rsidRPr="007F1A46">
        <w:rPr>
          <w:sz w:val="28"/>
          <w:szCs w:val="28"/>
        </w:rPr>
        <w:t>P</w:t>
      </w:r>
      <w:r w:rsidRPr="007F1A46">
        <w:rPr>
          <w:sz w:val="28"/>
          <w:szCs w:val="28"/>
        </w:rPr>
        <w:t xml:space="preserve">laintiff in this instant matter urged this court to similarly find for </w:t>
      </w:r>
      <w:r w:rsidR="00780E8D" w:rsidRPr="007F1A46">
        <w:rPr>
          <w:sz w:val="28"/>
          <w:szCs w:val="28"/>
        </w:rPr>
        <w:t>it could</w:t>
      </w:r>
      <w:r w:rsidR="00E97B59" w:rsidRPr="007F1A46">
        <w:rPr>
          <w:sz w:val="28"/>
          <w:szCs w:val="28"/>
        </w:rPr>
        <w:t xml:space="preserve"> </w:t>
      </w:r>
      <w:r w:rsidR="006658BC" w:rsidRPr="007F1A46">
        <w:rPr>
          <w:sz w:val="28"/>
          <w:szCs w:val="28"/>
        </w:rPr>
        <w:t xml:space="preserve">keep fixtures </w:t>
      </w:r>
      <w:r w:rsidR="00780E8D" w:rsidRPr="007F1A46">
        <w:rPr>
          <w:sz w:val="28"/>
          <w:szCs w:val="28"/>
        </w:rPr>
        <w:t xml:space="preserve">of the Defendant since similar situations existed here as </w:t>
      </w:r>
      <w:r w:rsidR="006658BC" w:rsidRPr="007F1A46">
        <w:rPr>
          <w:sz w:val="28"/>
          <w:szCs w:val="28"/>
        </w:rPr>
        <w:t xml:space="preserve"> the parties </w:t>
      </w:r>
      <w:r w:rsidR="00E97B59" w:rsidRPr="007F1A46">
        <w:rPr>
          <w:sz w:val="28"/>
          <w:szCs w:val="28"/>
        </w:rPr>
        <w:t xml:space="preserve">had entered into </w:t>
      </w:r>
      <w:r w:rsidR="00780E8D" w:rsidRPr="007F1A46">
        <w:rPr>
          <w:sz w:val="28"/>
          <w:szCs w:val="28"/>
        </w:rPr>
        <w:t xml:space="preserve">an agreement after the termination of the lease agreement for the demised premises </w:t>
      </w:r>
      <w:r w:rsidR="00830443" w:rsidRPr="007F1A46">
        <w:rPr>
          <w:sz w:val="28"/>
          <w:szCs w:val="28"/>
        </w:rPr>
        <w:t xml:space="preserve">that </w:t>
      </w:r>
      <w:r w:rsidR="00E62EED" w:rsidRPr="007F1A46">
        <w:rPr>
          <w:sz w:val="28"/>
          <w:szCs w:val="28"/>
        </w:rPr>
        <w:t xml:space="preserve">certain </w:t>
      </w:r>
      <w:r w:rsidR="00830443" w:rsidRPr="007F1A46">
        <w:rPr>
          <w:sz w:val="28"/>
          <w:szCs w:val="28"/>
        </w:rPr>
        <w:t xml:space="preserve">items listed in the inspection report </w:t>
      </w:r>
      <w:r w:rsidR="00E62EED" w:rsidRPr="007F1A46">
        <w:rPr>
          <w:sz w:val="28"/>
          <w:szCs w:val="28"/>
        </w:rPr>
        <w:t>(</w:t>
      </w:r>
      <w:r w:rsidR="00830443" w:rsidRPr="007F1A46">
        <w:rPr>
          <w:sz w:val="28"/>
          <w:szCs w:val="28"/>
        </w:rPr>
        <w:t>Exhibit P2</w:t>
      </w:r>
      <w:r w:rsidR="00E62EED" w:rsidRPr="007F1A46">
        <w:rPr>
          <w:sz w:val="28"/>
          <w:szCs w:val="28"/>
        </w:rPr>
        <w:t>)</w:t>
      </w:r>
      <w:r w:rsidR="00830443" w:rsidRPr="007F1A46">
        <w:rPr>
          <w:sz w:val="28"/>
          <w:szCs w:val="28"/>
        </w:rPr>
        <w:t xml:space="preserve"> </w:t>
      </w:r>
      <w:r w:rsidR="00780E8D" w:rsidRPr="007F1A46">
        <w:rPr>
          <w:sz w:val="28"/>
          <w:szCs w:val="28"/>
        </w:rPr>
        <w:t xml:space="preserve">were to be </w:t>
      </w:r>
      <w:r w:rsidR="00830443" w:rsidRPr="007F1A46">
        <w:rPr>
          <w:sz w:val="28"/>
          <w:szCs w:val="28"/>
        </w:rPr>
        <w:t xml:space="preserve"> handed over to the </w:t>
      </w:r>
      <w:r w:rsidR="00E62EED" w:rsidRPr="007F1A46">
        <w:rPr>
          <w:sz w:val="28"/>
          <w:szCs w:val="28"/>
        </w:rPr>
        <w:t xml:space="preserve">Plaintiff </w:t>
      </w:r>
      <w:r w:rsidR="00367C60" w:rsidRPr="007F1A46">
        <w:rPr>
          <w:sz w:val="28"/>
          <w:szCs w:val="28"/>
        </w:rPr>
        <w:t xml:space="preserve">at the end of the tenancy </w:t>
      </w:r>
      <w:r w:rsidR="00780E8D" w:rsidRPr="007F1A46">
        <w:rPr>
          <w:sz w:val="28"/>
          <w:szCs w:val="28"/>
        </w:rPr>
        <w:t>which</w:t>
      </w:r>
      <w:r w:rsidR="00E62EED" w:rsidRPr="007F1A46">
        <w:rPr>
          <w:sz w:val="28"/>
          <w:szCs w:val="28"/>
        </w:rPr>
        <w:t xml:space="preserve"> intention varied C</w:t>
      </w:r>
      <w:r w:rsidR="003F056E" w:rsidRPr="007F1A46">
        <w:rPr>
          <w:sz w:val="28"/>
          <w:szCs w:val="28"/>
        </w:rPr>
        <w:t xml:space="preserve">lause 4.4 of the tenancy agreement </w:t>
      </w:r>
      <w:r w:rsidR="0070562A" w:rsidRPr="007F1A46">
        <w:rPr>
          <w:sz w:val="28"/>
          <w:szCs w:val="28"/>
        </w:rPr>
        <w:t>(Exhibit P1)</w:t>
      </w:r>
      <w:r w:rsidR="00780E8D" w:rsidRPr="007F1A46">
        <w:rPr>
          <w:sz w:val="28"/>
          <w:szCs w:val="28"/>
        </w:rPr>
        <w:t xml:space="preserve"> </w:t>
      </w:r>
      <w:r w:rsidR="00E62EED" w:rsidRPr="007F1A46">
        <w:rPr>
          <w:sz w:val="28"/>
          <w:szCs w:val="28"/>
        </w:rPr>
        <w:t xml:space="preserve">by altering </w:t>
      </w:r>
      <w:r w:rsidR="00780E8D" w:rsidRPr="007F1A46">
        <w:rPr>
          <w:sz w:val="28"/>
          <w:szCs w:val="28"/>
        </w:rPr>
        <w:t xml:space="preserve">the right of the tenant </w:t>
      </w:r>
      <w:r w:rsidR="00E62EED" w:rsidRPr="007F1A46">
        <w:rPr>
          <w:sz w:val="28"/>
          <w:szCs w:val="28"/>
        </w:rPr>
        <w:t>to the benefit of the Plaintiff</w:t>
      </w:r>
      <w:r w:rsidR="0070562A" w:rsidRPr="007F1A46">
        <w:rPr>
          <w:sz w:val="28"/>
          <w:szCs w:val="28"/>
        </w:rPr>
        <w:t xml:space="preserve"> since by that report </w:t>
      </w:r>
      <w:r w:rsidR="003F056E" w:rsidRPr="007F1A46">
        <w:rPr>
          <w:sz w:val="28"/>
          <w:szCs w:val="28"/>
        </w:rPr>
        <w:t xml:space="preserve">the </w:t>
      </w:r>
      <w:r w:rsidR="0070562A" w:rsidRPr="007F1A46">
        <w:rPr>
          <w:sz w:val="28"/>
          <w:szCs w:val="28"/>
        </w:rPr>
        <w:t xml:space="preserve">Defendant had </w:t>
      </w:r>
      <w:r w:rsidR="006658BC" w:rsidRPr="007F1A46">
        <w:rPr>
          <w:sz w:val="28"/>
          <w:szCs w:val="28"/>
        </w:rPr>
        <w:t xml:space="preserve">agreed with the </w:t>
      </w:r>
      <w:r w:rsidR="0070562A" w:rsidRPr="007F1A46">
        <w:rPr>
          <w:sz w:val="28"/>
          <w:szCs w:val="28"/>
        </w:rPr>
        <w:t>Plaintiff</w:t>
      </w:r>
      <w:r w:rsidR="00F6149F" w:rsidRPr="007F1A46">
        <w:rPr>
          <w:sz w:val="28"/>
          <w:szCs w:val="28"/>
        </w:rPr>
        <w:t xml:space="preserve"> </w:t>
      </w:r>
      <w:r w:rsidR="0070562A" w:rsidRPr="007F1A46">
        <w:rPr>
          <w:sz w:val="28"/>
          <w:szCs w:val="28"/>
        </w:rPr>
        <w:t xml:space="preserve"> </w:t>
      </w:r>
      <w:r w:rsidR="003F056E" w:rsidRPr="007F1A46">
        <w:rPr>
          <w:sz w:val="28"/>
          <w:szCs w:val="28"/>
        </w:rPr>
        <w:t xml:space="preserve">that </w:t>
      </w:r>
      <w:r w:rsidR="00F6149F" w:rsidRPr="007F1A46">
        <w:rPr>
          <w:sz w:val="28"/>
          <w:szCs w:val="28"/>
        </w:rPr>
        <w:t>certain</w:t>
      </w:r>
      <w:r w:rsidR="003F056E" w:rsidRPr="007F1A46">
        <w:rPr>
          <w:sz w:val="28"/>
          <w:szCs w:val="28"/>
        </w:rPr>
        <w:t xml:space="preserve"> alterations, installations, additions or improvements upon the demised premises made by the </w:t>
      </w:r>
      <w:r w:rsidR="0070562A" w:rsidRPr="007F1A46">
        <w:rPr>
          <w:sz w:val="28"/>
          <w:szCs w:val="28"/>
        </w:rPr>
        <w:t xml:space="preserve">Defendant were to </w:t>
      </w:r>
      <w:r w:rsidR="003F056E" w:rsidRPr="007F1A46">
        <w:rPr>
          <w:sz w:val="28"/>
          <w:szCs w:val="28"/>
        </w:rPr>
        <w:t xml:space="preserve">be left intact </w:t>
      </w:r>
      <w:r w:rsidR="0070562A" w:rsidRPr="007F1A46">
        <w:rPr>
          <w:sz w:val="28"/>
          <w:szCs w:val="28"/>
        </w:rPr>
        <w:t xml:space="preserve">due to </w:t>
      </w:r>
      <w:r w:rsidR="003F056E" w:rsidRPr="007F1A46">
        <w:rPr>
          <w:sz w:val="28"/>
          <w:szCs w:val="28"/>
        </w:rPr>
        <w:t xml:space="preserve">the </w:t>
      </w:r>
      <w:r w:rsidR="00F6149F" w:rsidRPr="007F1A46">
        <w:rPr>
          <w:sz w:val="28"/>
          <w:szCs w:val="28"/>
        </w:rPr>
        <w:t xml:space="preserve">fact that the </w:t>
      </w:r>
      <w:r w:rsidR="003F056E" w:rsidRPr="007F1A46">
        <w:rPr>
          <w:sz w:val="28"/>
          <w:szCs w:val="28"/>
        </w:rPr>
        <w:t xml:space="preserve"> cost of removal </w:t>
      </w:r>
      <w:r w:rsidR="00F6149F" w:rsidRPr="007F1A46">
        <w:rPr>
          <w:sz w:val="28"/>
          <w:szCs w:val="28"/>
        </w:rPr>
        <w:t xml:space="preserve">would result into </w:t>
      </w:r>
      <w:r w:rsidR="003F056E" w:rsidRPr="007F1A46">
        <w:rPr>
          <w:sz w:val="28"/>
          <w:szCs w:val="28"/>
        </w:rPr>
        <w:t>substantial damage</w:t>
      </w:r>
      <w:r w:rsidR="00F6149F" w:rsidRPr="007F1A46">
        <w:rPr>
          <w:sz w:val="28"/>
          <w:szCs w:val="28"/>
        </w:rPr>
        <w:t>s</w:t>
      </w:r>
      <w:r w:rsidR="00322F12" w:rsidRPr="007F1A46">
        <w:rPr>
          <w:sz w:val="28"/>
          <w:szCs w:val="28"/>
        </w:rPr>
        <w:t xml:space="preserve"> </w:t>
      </w:r>
      <w:r w:rsidR="00367C60" w:rsidRPr="007F1A46">
        <w:rPr>
          <w:sz w:val="28"/>
          <w:szCs w:val="28"/>
        </w:rPr>
        <w:t xml:space="preserve">to the </w:t>
      </w:r>
      <w:r w:rsidR="0070562A" w:rsidRPr="007F1A46">
        <w:rPr>
          <w:sz w:val="28"/>
          <w:szCs w:val="28"/>
        </w:rPr>
        <w:t xml:space="preserve">Plaintiff’s premises with </w:t>
      </w:r>
      <w:r w:rsidR="00367C60" w:rsidRPr="007F1A46">
        <w:rPr>
          <w:sz w:val="28"/>
          <w:szCs w:val="28"/>
        </w:rPr>
        <w:t>t</w:t>
      </w:r>
      <w:r w:rsidR="003F056E" w:rsidRPr="007F1A46">
        <w:rPr>
          <w:sz w:val="28"/>
          <w:szCs w:val="28"/>
        </w:rPr>
        <w:t xml:space="preserve">he consideration </w:t>
      </w:r>
      <w:r w:rsidR="00F6149F" w:rsidRPr="007F1A46">
        <w:rPr>
          <w:sz w:val="28"/>
          <w:szCs w:val="28"/>
        </w:rPr>
        <w:t xml:space="preserve">to be had by the Defendant </w:t>
      </w:r>
      <w:r w:rsidR="003F056E" w:rsidRPr="007F1A46">
        <w:rPr>
          <w:sz w:val="28"/>
          <w:szCs w:val="28"/>
        </w:rPr>
        <w:t>f</w:t>
      </w:r>
      <w:r w:rsidR="00F6149F" w:rsidRPr="007F1A46">
        <w:rPr>
          <w:sz w:val="28"/>
          <w:szCs w:val="28"/>
        </w:rPr>
        <w:t>or</w:t>
      </w:r>
      <w:r w:rsidR="0070562A" w:rsidRPr="007F1A46">
        <w:rPr>
          <w:sz w:val="28"/>
          <w:szCs w:val="28"/>
        </w:rPr>
        <w:t xml:space="preserve"> leaving those fixtures being the cost</w:t>
      </w:r>
      <w:r w:rsidR="003F056E" w:rsidRPr="007F1A46">
        <w:rPr>
          <w:sz w:val="28"/>
          <w:szCs w:val="28"/>
        </w:rPr>
        <w:t xml:space="preserve"> </w:t>
      </w:r>
      <w:r w:rsidR="00367C60" w:rsidRPr="007F1A46">
        <w:rPr>
          <w:sz w:val="28"/>
          <w:szCs w:val="28"/>
        </w:rPr>
        <w:t xml:space="preserve">of the </w:t>
      </w:r>
      <w:r w:rsidR="003F056E" w:rsidRPr="007F1A46">
        <w:rPr>
          <w:sz w:val="28"/>
          <w:szCs w:val="28"/>
        </w:rPr>
        <w:t xml:space="preserve">removal of the </w:t>
      </w:r>
      <w:r w:rsidR="0070562A" w:rsidRPr="007F1A46">
        <w:rPr>
          <w:sz w:val="28"/>
          <w:szCs w:val="28"/>
        </w:rPr>
        <w:t>fixture</w:t>
      </w:r>
      <w:r w:rsidR="003F056E" w:rsidRPr="007F1A46">
        <w:rPr>
          <w:sz w:val="28"/>
          <w:szCs w:val="28"/>
        </w:rPr>
        <w:t xml:space="preserve">s and </w:t>
      </w:r>
      <w:r w:rsidR="00F6149F" w:rsidRPr="007F1A46">
        <w:rPr>
          <w:sz w:val="28"/>
          <w:szCs w:val="28"/>
        </w:rPr>
        <w:t xml:space="preserve">subsequent costs of </w:t>
      </w:r>
      <w:r w:rsidR="00194FF0" w:rsidRPr="007F1A46">
        <w:rPr>
          <w:sz w:val="28"/>
          <w:szCs w:val="28"/>
        </w:rPr>
        <w:t>damage</w:t>
      </w:r>
      <w:r w:rsidR="00205247" w:rsidRPr="007F1A46">
        <w:rPr>
          <w:sz w:val="28"/>
          <w:szCs w:val="28"/>
        </w:rPr>
        <w:t xml:space="preserve"> </w:t>
      </w:r>
      <w:r w:rsidR="00F6149F" w:rsidRPr="007F1A46">
        <w:rPr>
          <w:sz w:val="28"/>
          <w:szCs w:val="28"/>
        </w:rPr>
        <w:t xml:space="preserve">occasioned by </w:t>
      </w:r>
      <w:r w:rsidR="00205247" w:rsidRPr="007F1A46">
        <w:rPr>
          <w:sz w:val="28"/>
          <w:szCs w:val="28"/>
        </w:rPr>
        <w:t>repairs</w:t>
      </w:r>
      <w:r w:rsidR="00194FF0" w:rsidRPr="007F1A46">
        <w:rPr>
          <w:sz w:val="28"/>
          <w:szCs w:val="28"/>
        </w:rPr>
        <w:t xml:space="preserve"> </w:t>
      </w:r>
      <w:r w:rsidR="00F6149F" w:rsidRPr="007F1A46">
        <w:rPr>
          <w:sz w:val="28"/>
          <w:szCs w:val="28"/>
        </w:rPr>
        <w:t xml:space="preserve">which would result during the </w:t>
      </w:r>
      <w:r w:rsidR="006658BC" w:rsidRPr="007F1A46">
        <w:rPr>
          <w:sz w:val="28"/>
          <w:szCs w:val="28"/>
        </w:rPr>
        <w:t xml:space="preserve">bid </w:t>
      </w:r>
      <w:r w:rsidR="00194FF0" w:rsidRPr="007F1A46">
        <w:rPr>
          <w:sz w:val="28"/>
          <w:szCs w:val="28"/>
        </w:rPr>
        <w:t xml:space="preserve">to restore the premises to </w:t>
      </w:r>
      <w:r w:rsidR="006658BC" w:rsidRPr="007F1A46">
        <w:rPr>
          <w:sz w:val="28"/>
          <w:szCs w:val="28"/>
        </w:rPr>
        <w:t>its</w:t>
      </w:r>
      <w:r w:rsidR="00194FF0" w:rsidRPr="007F1A46">
        <w:rPr>
          <w:sz w:val="28"/>
          <w:szCs w:val="28"/>
        </w:rPr>
        <w:t xml:space="preserve"> agreed </w:t>
      </w:r>
      <w:r w:rsidR="004C4D1C" w:rsidRPr="007F1A46">
        <w:rPr>
          <w:sz w:val="28"/>
          <w:szCs w:val="28"/>
        </w:rPr>
        <w:t xml:space="preserve">original </w:t>
      </w:r>
      <w:r w:rsidR="00205247" w:rsidRPr="007F1A46">
        <w:rPr>
          <w:sz w:val="28"/>
          <w:szCs w:val="28"/>
        </w:rPr>
        <w:t>condition. Th</w:t>
      </w:r>
      <w:r w:rsidR="00033147" w:rsidRPr="007F1A46">
        <w:rPr>
          <w:sz w:val="28"/>
          <w:szCs w:val="28"/>
        </w:rPr>
        <w:t xml:space="preserve">is argument was raised on the basis that </w:t>
      </w:r>
      <w:r w:rsidR="003B36AE" w:rsidRPr="007F1A46">
        <w:rPr>
          <w:sz w:val="28"/>
          <w:szCs w:val="28"/>
        </w:rPr>
        <w:t>the parties’</w:t>
      </w:r>
      <w:r w:rsidR="00033147" w:rsidRPr="007F1A46">
        <w:rPr>
          <w:sz w:val="28"/>
          <w:szCs w:val="28"/>
        </w:rPr>
        <w:t xml:space="preserve"> </w:t>
      </w:r>
      <w:r w:rsidR="00B3498A" w:rsidRPr="007F1A46">
        <w:rPr>
          <w:sz w:val="28"/>
          <w:szCs w:val="28"/>
        </w:rPr>
        <w:t>c</w:t>
      </w:r>
      <w:r w:rsidR="003D793B" w:rsidRPr="007F1A46">
        <w:rPr>
          <w:sz w:val="28"/>
          <w:szCs w:val="28"/>
        </w:rPr>
        <w:t xml:space="preserve">hief </w:t>
      </w:r>
      <w:r w:rsidR="00B3498A" w:rsidRPr="007F1A46">
        <w:rPr>
          <w:sz w:val="28"/>
          <w:szCs w:val="28"/>
        </w:rPr>
        <w:t xml:space="preserve">officers </w:t>
      </w:r>
      <w:r w:rsidR="00033147" w:rsidRPr="007F1A46">
        <w:rPr>
          <w:sz w:val="28"/>
          <w:szCs w:val="28"/>
        </w:rPr>
        <w:t xml:space="preserve">had so agreed and thus </w:t>
      </w:r>
      <w:r w:rsidR="003D793B" w:rsidRPr="007F1A46">
        <w:rPr>
          <w:sz w:val="28"/>
          <w:szCs w:val="28"/>
        </w:rPr>
        <w:t xml:space="preserve">the </w:t>
      </w:r>
      <w:r w:rsidR="00205247" w:rsidRPr="007F1A46">
        <w:rPr>
          <w:sz w:val="28"/>
          <w:szCs w:val="28"/>
        </w:rPr>
        <w:t xml:space="preserve">Defendant </w:t>
      </w:r>
      <w:r w:rsidR="003D793B" w:rsidRPr="007F1A46">
        <w:rPr>
          <w:sz w:val="28"/>
          <w:szCs w:val="28"/>
        </w:rPr>
        <w:t xml:space="preserve">lost </w:t>
      </w:r>
      <w:r w:rsidR="00033147" w:rsidRPr="007F1A46">
        <w:rPr>
          <w:sz w:val="28"/>
          <w:szCs w:val="28"/>
        </w:rPr>
        <w:t>its</w:t>
      </w:r>
      <w:r w:rsidR="003D793B" w:rsidRPr="007F1A46">
        <w:rPr>
          <w:sz w:val="28"/>
          <w:szCs w:val="28"/>
        </w:rPr>
        <w:t xml:space="preserve"> right to remove </w:t>
      </w:r>
      <w:r w:rsidR="00B3498A" w:rsidRPr="007F1A46">
        <w:rPr>
          <w:sz w:val="28"/>
          <w:szCs w:val="28"/>
        </w:rPr>
        <w:t>th</w:t>
      </w:r>
      <w:r w:rsidR="00033147" w:rsidRPr="007F1A46">
        <w:rPr>
          <w:sz w:val="28"/>
          <w:szCs w:val="28"/>
        </w:rPr>
        <w:t>os</w:t>
      </w:r>
      <w:r w:rsidR="00B3498A" w:rsidRPr="007F1A46">
        <w:rPr>
          <w:sz w:val="28"/>
          <w:szCs w:val="28"/>
        </w:rPr>
        <w:t xml:space="preserve">e </w:t>
      </w:r>
      <w:r w:rsidR="003D793B" w:rsidRPr="007F1A46">
        <w:rPr>
          <w:sz w:val="28"/>
          <w:szCs w:val="28"/>
        </w:rPr>
        <w:t xml:space="preserve">fixtures </w:t>
      </w:r>
      <w:r w:rsidR="00205247" w:rsidRPr="007F1A46">
        <w:rPr>
          <w:sz w:val="28"/>
          <w:szCs w:val="28"/>
        </w:rPr>
        <w:t>since</w:t>
      </w:r>
      <w:r w:rsidR="00B3498A" w:rsidRPr="007F1A46">
        <w:rPr>
          <w:sz w:val="28"/>
          <w:szCs w:val="28"/>
        </w:rPr>
        <w:t xml:space="preserve"> the </w:t>
      </w:r>
      <w:r w:rsidR="00033147" w:rsidRPr="007F1A46">
        <w:rPr>
          <w:sz w:val="28"/>
          <w:szCs w:val="28"/>
        </w:rPr>
        <w:t>P</w:t>
      </w:r>
      <w:r w:rsidR="00B3498A" w:rsidRPr="007F1A46">
        <w:rPr>
          <w:sz w:val="28"/>
          <w:szCs w:val="28"/>
        </w:rPr>
        <w:t>l</w:t>
      </w:r>
      <w:r w:rsidR="00033147" w:rsidRPr="007F1A46">
        <w:rPr>
          <w:sz w:val="28"/>
          <w:szCs w:val="28"/>
        </w:rPr>
        <w:t>aintiff</w:t>
      </w:r>
      <w:r w:rsidR="00B3498A" w:rsidRPr="007F1A46">
        <w:rPr>
          <w:sz w:val="28"/>
          <w:szCs w:val="28"/>
        </w:rPr>
        <w:t xml:space="preserve"> </w:t>
      </w:r>
      <w:r w:rsidR="00205247" w:rsidRPr="007F1A46">
        <w:rPr>
          <w:sz w:val="28"/>
          <w:szCs w:val="28"/>
        </w:rPr>
        <w:t xml:space="preserve">had </w:t>
      </w:r>
      <w:r w:rsidR="00B3498A" w:rsidRPr="007F1A46">
        <w:rPr>
          <w:sz w:val="28"/>
          <w:szCs w:val="28"/>
        </w:rPr>
        <w:t>accordingly by th</w:t>
      </w:r>
      <w:r w:rsidR="00033147" w:rsidRPr="007F1A46">
        <w:rPr>
          <w:sz w:val="28"/>
          <w:szCs w:val="28"/>
        </w:rPr>
        <w:t>e</w:t>
      </w:r>
      <w:r w:rsidR="00B3498A" w:rsidRPr="007F1A46">
        <w:rPr>
          <w:sz w:val="28"/>
          <w:szCs w:val="28"/>
        </w:rPr>
        <w:t xml:space="preserve"> agreement</w:t>
      </w:r>
      <w:r w:rsidR="003D793B" w:rsidRPr="007F1A46">
        <w:rPr>
          <w:sz w:val="28"/>
          <w:szCs w:val="28"/>
        </w:rPr>
        <w:t xml:space="preserve"> </w:t>
      </w:r>
      <w:r w:rsidR="00033147" w:rsidRPr="007F1A46">
        <w:rPr>
          <w:sz w:val="28"/>
          <w:szCs w:val="28"/>
        </w:rPr>
        <w:t xml:space="preserve">of the parties </w:t>
      </w:r>
      <w:r w:rsidR="003D793B" w:rsidRPr="007F1A46">
        <w:rPr>
          <w:sz w:val="28"/>
          <w:szCs w:val="28"/>
        </w:rPr>
        <w:t xml:space="preserve">acquired the right to deal with those items as if they were </w:t>
      </w:r>
      <w:r w:rsidR="00DD3881" w:rsidRPr="007F1A46">
        <w:rPr>
          <w:sz w:val="28"/>
          <w:szCs w:val="28"/>
        </w:rPr>
        <w:t>its property</w:t>
      </w:r>
      <w:r w:rsidR="00205247" w:rsidRPr="007F1A46">
        <w:rPr>
          <w:sz w:val="28"/>
          <w:szCs w:val="28"/>
        </w:rPr>
        <w:t xml:space="preserve"> in line the holding in </w:t>
      </w:r>
      <w:r w:rsidR="00DD3881" w:rsidRPr="007F1A46">
        <w:rPr>
          <w:sz w:val="28"/>
          <w:szCs w:val="28"/>
        </w:rPr>
        <w:t>t</w:t>
      </w:r>
      <w:r w:rsidR="00B3498A" w:rsidRPr="007F1A46">
        <w:rPr>
          <w:sz w:val="28"/>
          <w:szCs w:val="28"/>
        </w:rPr>
        <w:t>he case of Vopak</w:t>
      </w:r>
      <w:r w:rsidR="00B3498A" w:rsidRPr="007F1A46">
        <w:rPr>
          <w:b/>
          <w:sz w:val="28"/>
          <w:szCs w:val="28"/>
        </w:rPr>
        <w:t xml:space="preserve"> </w:t>
      </w:r>
      <w:r w:rsidR="008B1D63" w:rsidRPr="007F1A46">
        <w:rPr>
          <w:sz w:val="28"/>
          <w:szCs w:val="28"/>
        </w:rPr>
        <w:t>(above</w:t>
      </w:r>
      <w:proofErr w:type="gramStart"/>
      <w:r w:rsidR="008B1D63" w:rsidRPr="007F1A46">
        <w:rPr>
          <w:sz w:val="28"/>
          <w:szCs w:val="28"/>
        </w:rPr>
        <w:t>)</w:t>
      </w:r>
      <w:r w:rsidR="008B1D63" w:rsidRPr="007F1A46">
        <w:rPr>
          <w:b/>
          <w:sz w:val="28"/>
          <w:szCs w:val="28"/>
        </w:rPr>
        <w:t xml:space="preserve"> </w:t>
      </w:r>
      <w:r w:rsidR="00033147" w:rsidRPr="007F1A46">
        <w:rPr>
          <w:b/>
          <w:sz w:val="28"/>
          <w:szCs w:val="28"/>
        </w:rPr>
        <w:t>.</w:t>
      </w:r>
      <w:proofErr w:type="gramEnd"/>
    </w:p>
    <w:p w:rsidR="00DD3881" w:rsidRPr="007F1A46" w:rsidRDefault="0070426B" w:rsidP="00B3498A">
      <w:pPr>
        <w:spacing w:line="480" w:lineRule="auto"/>
        <w:jc w:val="both"/>
        <w:rPr>
          <w:sz w:val="28"/>
          <w:szCs w:val="28"/>
        </w:rPr>
      </w:pPr>
      <w:r w:rsidRPr="007F1A46">
        <w:rPr>
          <w:sz w:val="28"/>
          <w:szCs w:val="28"/>
        </w:rPr>
        <w:lastRenderedPageBreak/>
        <w:t>P</w:t>
      </w:r>
      <w:r w:rsidR="00B3498A" w:rsidRPr="007F1A46">
        <w:rPr>
          <w:sz w:val="28"/>
          <w:szCs w:val="28"/>
        </w:rPr>
        <w:t>rofessor Peter Butt in his work</w:t>
      </w:r>
      <w:r w:rsidR="00DD3881" w:rsidRPr="007F1A46">
        <w:rPr>
          <w:b/>
          <w:sz w:val="28"/>
          <w:szCs w:val="28"/>
        </w:rPr>
        <w:t xml:space="preserve"> L</w:t>
      </w:r>
      <w:r w:rsidRPr="007F1A46">
        <w:rPr>
          <w:b/>
          <w:sz w:val="28"/>
          <w:szCs w:val="28"/>
        </w:rPr>
        <w:t>and Law</w:t>
      </w:r>
      <w:r w:rsidR="00B3498A" w:rsidRPr="007F1A46">
        <w:rPr>
          <w:b/>
          <w:sz w:val="28"/>
          <w:szCs w:val="28"/>
        </w:rPr>
        <w:t xml:space="preserve"> </w:t>
      </w:r>
      <w:r w:rsidRPr="007F1A46">
        <w:rPr>
          <w:b/>
          <w:sz w:val="28"/>
          <w:szCs w:val="28"/>
        </w:rPr>
        <w:t>(</w:t>
      </w:r>
      <w:r w:rsidR="00B3498A" w:rsidRPr="007F1A46">
        <w:rPr>
          <w:b/>
          <w:sz w:val="28"/>
          <w:szCs w:val="28"/>
        </w:rPr>
        <w:t>5</w:t>
      </w:r>
      <w:r w:rsidR="00B3498A" w:rsidRPr="007F1A46">
        <w:rPr>
          <w:b/>
          <w:sz w:val="28"/>
          <w:szCs w:val="28"/>
          <w:vertAlign w:val="superscript"/>
        </w:rPr>
        <w:t>th</w:t>
      </w:r>
      <w:r w:rsidR="00B3498A" w:rsidRPr="007F1A46">
        <w:rPr>
          <w:b/>
          <w:sz w:val="28"/>
          <w:szCs w:val="28"/>
        </w:rPr>
        <w:t xml:space="preserve"> Ed</w:t>
      </w:r>
      <w:r w:rsidRPr="007F1A46">
        <w:rPr>
          <w:b/>
          <w:sz w:val="28"/>
          <w:szCs w:val="28"/>
        </w:rPr>
        <w:t>ition) published by Thomson Law B</w:t>
      </w:r>
      <w:r w:rsidR="00B3498A" w:rsidRPr="007F1A46">
        <w:rPr>
          <w:b/>
          <w:sz w:val="28"/>
          <w:szCs w:val="28"/>
        </w:rPr>
        <w:t>ook Co. 2006 at P.413 para.15254</w:t>
      </w:r>
      <w:r w:rsidR="00B3498A" w:rsidRPr="007F1A46">
        <w:rPr>
          <w:sz w:val="28"/>
          <w:szCs w:val="28"/>
        </w:rPr>
        <w:t xml:space="preserve"> </w:t>
      </w:r>
      <w:r w:rsidR="0020691B" w:rsidRPr="007F1A46">
        <w:rPr>
          <w:sz w:val="28"/>
          <w:szCs w:val="28"/>
        </w:rPr>
        <w:t xml:space="preserve">gives his insight to such situations for he </w:t>
      </w:r>
      <w:r w:rsidR="00B3498A" w:rsidRPr="007F1A46">
        <w:rPr>
          <w:sz w:val="28"/>
          <w:szCs w:val="28"/>
        </w:rPr>
        <w:t>state</w:t>
      </w:r>
      <w:r w:rsidR="00DD3881" w:rsidRPr="007F1A46">
        <w:rPr>
          <w:sz w:val="28"/>
          <w:szCs w:val="28"/>
        </w:rPr>
        <w:t>s</w:t>
      </w:r>
      <w:r w:rsidR="00B3498A" w:rsidRPr="007F1A46">
        <w:rPr>
          <w:sz w:val="28"/>
          <w:szCs w:val="28"/>
        </w:rPr>
        <w:t xml:space="preserve"> that </w:t>
      </w:r>
      <w:r w:rsidR="00DD3881" w:rsidRPr="007F1A46">
        <w:rPr>
          <w:sz w:val="28"/>
          <w:szCs w:val="28"/>
        </w:rPr>
        <w:t>“</w:t>
      </w:r>
      <w:r w:rsidR="00DD3881" w:rsidRPr="007F1A46">
        <w:rPr>
          <w:b/>
          <w:sz w:val="28"/>
          <w:szCs w:val="28"/>
        </w:rPr>
        <w:t>…t</w:t>
      </w:r>
      <w:r w:rsidR="00B3498A" w:rsidRPr="007F1A46">
        <w:rPr>
          <w:b/>
          <w:sz w:val="28"/>
          <w:szCs w:val="28"/>
        </w:rPr>
        <w:t>he tenant has to remove his fixtures within a reasonable time after the term ends or the notice to terminate the lease expires”</w:t>
      </w:r>
      <w:r w:rsidR="00DD3881" w:rsidRPr="007F1A46">
        <w:rPr>
          <w:b/>
          <w:sz w:val="28"/>
          <w:szCs w:val="28"/>
        </w:rPr>
        <w:t xml:space="preserve"> </w:t>
      </w:r>
      <w:r w:rsidR="00DD3881" w:rsidRPr="007F1A46">
        <w:rPr>
          <w:sz w:val="28"/>
          <w:szCs w:val="28"/>
        </w:rPr>
        <w:t>while citing the case</w:t>
      </w:r>
      <w:r w:rsidR="00B3498A" w:rsidRPr="007F1A46">
        <w:rPr>
          <w:sz w:val="28"/>
          <w:szCs w:val="28"/>
        </w:rPr>
        <w:t xml:space="preserve"> of</w:t>
      </w:r>
      <w:r w:rsidR="00B3498A" w:rsidRPr="007F1A46">
        <w:rPr>
          <w:b/>
          <w:sz w:val="28"/>
          <w:szCs w:val="28"/>
        </w:rPr>
        <w:t xml:space="preserve"> </w:t>
      </w:r>
      <w:r w:rsidR="00DD3881" w:rsidRPr="007F1A46">
        <w:rPr>
          <w:b/>
          <w:sz w:val="28"/>
          <w:szCs w:val="28"/>
        </w:rPr>
        <w:t>Smith v City Petroleum Co. Ltd [1940]</w:t>
      </w:r>
      <w:r w:rsidR="00B3498A" w:rsidRPr="007F1A46">
        <w:rPr>
          <w:b/>
          <w:sz w:val="28"/>
          <w:szCs w:val="28"/>
        </w:rPr>
        <w:t xml:space="preserve"> ALL ER 260 </w:t>
      </w:r>
      <w:r w:rsidR="00DD3881" w:rsidRPr="007F1A46">
        <w:rPr>
          <w:sz w:val="28"/>
          <w:szCs w:val="28"/>
        </w:rPr>
        <w:t>at</w:t>
      </w:r>
      <w:r w:rsidR="00B3498A" w:rsidRPr="007F1A46">
        <w:rPr>
          <w:b/>
          <w:sz w:val="28"/>
          <w:szCs w:val="28"/>
        </w:rPr>
        <w:t xml:space="preserve"> 262 </w:t>
      </w:r>
      <w:r w:rsidR="00DD3881" w:rsidRPr="007F1A46">
        <w:rPr>
          <w:sz w:val="28"/>
          <w:szCs w:val="28"/>
        </w:rPr>
        <w:t xml:space="preserve">thus from this exposition </w:t>
      </w:r>
      <w:r w:rsidR="0020691B" w:rsidRPr="007F1A46">
        <w:rPr>
          <w:sz w:val="28"/>
          <w:szCs w:val="28"/>
        </w:rPr>
        <w:t>it</w:t>
      </w:r>
      <w:r w:rsidR="0020691B" w:rsidRPr="007F1A46">
        <w:rPr>
          <w:b/>
          <w:sz w:val="28"/>
          <w:szCs w:val="28"/>
        </w:rPr>
        <w:t xml:space="preserve"> </w:t>
      </w:r>
      <w:r w:rsidR="0020691B" w:rsidRPr="007F1A46">
        <w:rPr>
          <w:sz w:val="28"/>
          <w:szCs w:val="28"/>
        </w:rPr>
        <w:t>would</w:t>
      </w:r>
      <w:r w:rsidR="00B3498A" w:rsidRPr="007F1A46">
        <w:rPr>
          <w:sz w:val="28"/>
          <w:szCs w:val="28"/>
        </w:rPr>
        <w:t xml:space="preserve"> </w:t>
      </w:r>
      <w:r w:rsidR="00DD3881" w:rsidRPr="007F1A46">
        <w:rPr>
          <w:sz w:val="28"/>
          <w:szCs w:val="28"/>
        </w:rPr>
        <w:t>appear that</w:t>
      </w:r>
      <w:r w:rsidR="00B3498A" w:rsidRPr="007F1A46">
        <w:rPr>
          <w:sz w:val="28"/>
          <w:szCs w:val="28"/>
        </w:rPr>
        <w:t xml:space="preserve"> removal after the lease term expires</w:t>
      </w:r>
      <w:r w:rsidR="00DD3881" w:rsidRPr="007F1A46">
        <w:rPr>
          <w:sz w:val="28"/>
          <w:szCs w:val="28"/>
        </w:rPr>
        <w:t xml:space="preserve"> is precluded</w:t>
      </w:r>
      <w:r w:rsidR="00B3498A" w:rsidRPr="007F1A46">
        <w:rPr>
          <w:sz w:val="28"/>
          <w:szCs w:val="28"/>
        </w:rPr>
        <w:t xml:space="preserve">. </w:t>
      </w:r>
    </w:p>
    <w:p w:rsidR="00E14BD5" w:rsidRPr="007F1A46" w:rsidRDefault="00566CED" w:rsidP="00AF5FE0">
      <w:pPr>
        <w:spacing w:line="480" w:lineRule="auto"/>
        <w:jc w:val="both"/>
        <w:rPr>
          <w:sz w:val="28"/>
          <w:szCs w:val="28"/>
        </w:rPr>
      </w:pPr>
      <w:r w:rsidRPr="007F1A46">
        <w:rPr>
          <w:sz w:val="28"/>
          <w:szCs w:val="28"/>
        </w:rPr>
        <w:t>T</w:t>
      </w:r>
      <w:r w:rsidR="00DD3881" w:rsidRPr="007F1A46">
        <w:rPr>
          <w:sz w:val="28"/>
          <w:szCs w:val="28"/>
        </w:rPr>
        <w:t xml:space="preserve">he </w:t>
      </w:r>
      <w:r w:rsidR="001E5752" w:rsidRPr="007F1A46">
        <w:rPr>
          <w:sz w:val="28"/>
          <w:szCs w:val="28"/>
        </w:rPr>
        <w:t xml:space="preserve">Defendant </w:t>
      </w:r>
      <w:r w:rsidRPr="007F1A46">
        <w:rPr>
          <w:sz w:val="28"/>
          <w:szCs w:val="28"/>
        </w:rPr>
        <w:t xml:space="preserve">in the instant matter is said to have </w:t>
      </w:r>
      <w:r w:rsidR="008B449C" w:rsidRPr="007F1A46">
        <w:rPr>
          <w:sz w:val="28"/>
          <w:szCs w:val="28"/>
        </w:rPr>
        <w:t>breach</w:t>
      </w:r>
      <w:r w:rsidR="00DD3881" w:rsidRPr="007F1A46">
        <w:rPr>
          <w:sz w:val="28"/>
          <w:szCs w:val="28"/>
        </w:rPr>
        <w:t xml:space="preserve">ed the parties subsequent agreement </w:t>
      </w:r>
      <w:r w:rsidRPr="007F1A46">
        <w:rPr>
          <w:sz w:val="28"/>
          <w:szCs w:val="28"/>
        </w:rPr>
        <w:t xml:space="preserve">for </w:t>
      </w:r>
      <w:r w:rsidR="008B449C" w:rsidRPr="007F1A46">
        <w:rPr>
          <w:sz w:val="28"/>
          <w:szCs w:val="28"/>
        </w:rPr>
        <w:t xml:space="preserve">at the end of the tenancy term </w:t>
      </w:r>
      <w:r w:rsidR="007F74BA" w:rsidRPr="007F1A46">
        <w:rPr>
          <w:sz w:val="28"/>
          <w:szCs w:val="28"/>
        </w:rPr>
        <w:t xml:space="preserve">it </w:t>
      </w:r>
      <w:r w:rsidRPr="007F1A46">
        <w:rPr>
          <w:sz w:val="28"/>
          <w:szCs w:val="28"/>
        </w:rPr>
        <w:t xml:space="preserve">that it </w:t>
      </w:r>
      <w:r w:rsidR="007F74BA" w:rsidRPr="007F1A46">
        <w:rPr>
          <w:sz w:val="28"/>
          <w:szCs w:val="28"/>
        </w:rPr>
        <w:t>sold to a third party</w:t>
      </w:r>
      <w:r w:rsidR="008B449C" w:rsidRPr="007F1A46">
        <w:rPr>
          <w:sz w:val="28"/>
          <w:szCs w:val="28"/>
        </w:rPr>
        <w:t xml:space="preserve"> the fixtures which had </w:t>
      </w:r>
      <w:r w:rsidR="001E5752" w:rsidRPr="007F1A46">
        <w:rPr>
          <w:sz w:val="28"/>
          <w:szCs w:val="28"/>
        </w:rPr>
        <w:t xml:space="preserve">reverted </w:t>
      </w:r>
      <w:r w:rsidR="008B449C" w:rsidRPr="007F1A46">
        <w:rPr>
          <w:sz w:val="28"/>
          <w:szCs w:val="28"/>
        </w:rPr>
        <w:t>t</w:t>
      </w:r>
      <w:r w:rsidR="001E5752" w:rsidRPr="007F1A46">
        <w:rPr>
          <w:sz w:val="28"/>
          <w:szCs w:val="28"/>
        </w:rPr>
        <w:t>o the P</w:t>
      </w:r>
      <w:r w:rsidR="008B449C" w:rsidRPr="007F1A46">
        <w:rPr>
          <w:sz w:val="28"/>
          <w:szCs w:val="28"/>
        </w:rPr>
        <w:t>laintiff</w:t>
      </w:r>
      <w:r w:rsidR="001E5752" w:rsidRPr="007F1A46">
        <w:rPr>
          <w:sz w:val="28"/>
          <w:szCs w:val="28"/>
        </w:rPr>
        <w:t xml:space="preserve"> </w:t>
      </w:r>
      <w:r w:rsidR="00932041" w:rsidRPr="007F1A46">
        <w:rPr>
          <w:sz w:val="28"/>
          <w:szCs w:val="28"/>
        </w:rPr>
        <w:t xml:space="preserve">on the basis that </w:t>
      </w:r>
      <w:r w:rsidR="001E5752" w:rsidRPr="007F1A46">
        <w:rPr>
          <w:sz w:val="28"/>
          <w:szCs w:val="28"/>
        </w:rPr>
        <w:t>its</w:t>
      </w:r>
      <w:r w:rsidR="007F74BA" w:rsidRPr="007F1A46">
        <w:rPr>
          <w:sz w:val="28"/>
          <w:szCs w:val="28"/>
        </w:rPr>
        <w:t xml:space="preserve"> </w:t>
      </w:r>
      <w:r w:rsidR="00932041" w:rsidRPr="007F1A46">
        <w:rPr>
          <w:sz w:val="28"/>
          <w:szCs w:val="28"/>
        </w:rPr>
        <w:t>Chief Operations Officer</w:t>
      </w:r>
      <w:r w:rsidR="007F74BA" w:rsidRPr="007F1A46">
        <w:rPr>
          <w:sz w:val="28"/>
          <w:szCs w:val="28"/>
        </w:rPr>
        <w:t xml:space="preserve"> had </w:t>
      </w:r>
      <w:r w:rsidR="00932041" w:rsidRPr="007F1A46">
        <w:rPr>
          <w:sz w:val="28"/>
          <w:szCs w:val="28"/>
        </w:rPr>
        <w:t xml:space="preserve">no authority </w:t>
      </w:r>
      <w:r w:rsidR="007F74BA" w:rsidRPr="007F1A46">
        <w:rPr>
          <w:sz w:val="28"/>
          <w:szCs w:val="28"/>
        </w:rPr>
        <w:t>to enter such exclusion agreement</w:t>
      </w:r>
      <w:r w:rsidR="00932041" w:rsidRPr="007F1A46">
        <w:rPr>
          <w:sz w:val="28"/>
          <w:szCs w:val="28"/>
        </w:rPr>
        <w:t xml:space="preserve"> yet the law in Uganda well settled that a private company could not bring up the technicalities arising from its internal management to defeat a third party who dealt with the company for </w:t>
      </w:r>
      <w:r w:rsidR="007F74BA" w:rsidRPr="007F1A46">
        <w:rPr>
          <w:sz w:val="28"/>
          <w:szCs w:val="28"/>
        </w:rPr>
        <w:t xml:space="preserve">Wambuzi CJ in the </w:t>
      </w:r>
      <w:r w:rsidR="00AD520B" w:rsidRPr="007F1A46">
        <w:rPr>
          <w:sz w:val="28"/>
          <w:szCs w:val="28"/>
        </w:rPr>
        <w:t xml:space="preserve">case of </w:t>
      </w:r>
      <w:r w:rsidR="00AD520B" w:rsidRPr="007F1A46">
        <w:rPr>
          <w:b/>
          <w:sz w:val="28"/>
          <w:szCs w:val="28"/>
        </w:rPr>
        <w:t>United Assurance Co. Ltd v Attorney General SCCA No.1 of 1986 arising from HCCS</w:t>
      </w:r>
      <w:r w:rsidR="00E279BF" w:rsidRPr="007F1A46">
        <w:rPr>
          <w:b/>
          <w:sz w:val="28"/>
          <w:szCs w:val="28"/>
        </w:rPr>
        <w:t xml:space="preserve"> </w:t>
      </w:r>
      <w:r w:rsidR="008C3D63" w:rsidRPr="007F1A46">
        <w:rPr>
          <w:b/>
          <w:sz w:val="28"/>
          <w:szCs w:val="28"/>
        </w:rPr>
        <w:t xml:space="preserve">No. 221 of 1984 </w:t>
      </w:r>
      <w:r w:rsidR="008C3D63" w:rsidRPr="007F1A46">
        <w:rPr>
          <w:sz w:val="28"/>
          <w:szCs w:val="28"/>
        </w:rPr>
        <w:t xml:space="preserve">held that </w:t>
      </w:r>
      <w:r w:rsidR="007F74BA" w:rsidRPr="007F1A46">
        <w:rPr>
          <w:sz w:val="28"/>
          <w:szCs w:val="28"/>
        </w:rPr>
        <w:t>a s</w:t>
      </w:r>
      <w:r w:rsidR="00E279BF" w:rsidRPr="007F1A46">
        <w:rPr>
          <w:sz w:val="28"/>
          <w:szCs w:val="28"/>
        </w:rPr>
        <w:t>ingle</w:t>
      </w:r>
      <w:r w:rsidR="008C3D63" w:rsidRPr="007F1A46">
        <w:rPr>
          <w:sz w:val="28"/>
          <w:szCs w:val="28"/>
        </w:rPr>
        <w:t xml:space="preserve"> </w:t>
      </w:r>
      <w:r w:rsidR="007F74BA" w:rsidRPr="007F1A46">
        <w:rPr>
          <w:sz w:val="28"/>
          <w:szCs w:val="28"/>
        </w:rPr>
        <w:t>officer, manager or d</w:t>
      </w:r>
      <w:r w:rsidR="008C3D63" w:rsidRPr="007F1A46">
        <w:rPr>
          <w:sz w:val="28"/>
          <w:szCs w:val="28"/>
        </w:rPr>
        <w:t xml:space="preserve">irector of company who appeared to have ostensible authority to act for the company or enter into contract on behalf of </w:t>
      </w:r>
      <w:r w:rsidR="00C8255A" w:rsidRPr="007F1A46">
        <w:rPr>
          <w:sz w:val="28"/>
          <w:szCs w:val="28"/>
        </w:rPr>
        <w:t xml:space="preserve">a </w:t>
      </w:r>
      <w:r w:rsidR="008C3D63" w:rsidRPr="007F1A46">
        <w:rPr>
          <w:sz w:val="28"/>
          <w:szCs w:val="28"/>
        </w:rPr>
        <w:t xml:space="preserve">company and who held out to represent the company, carried with him the power of the </w:t>
      </w:r>
      <w:r w:rsidR="007F74BA" w:rsidRPr="007F1A46">
        <w:rPr>
          <w:sz w:val="28"/>
          <w:szCs w:val="28"/>
        </w:rPr>
        <w:t xml:space="preserve">board of the company </w:t>
      </w:r>
      <w:r w:rsidR="00C8255A" w:rsidRPr="007F1A46">
        <w:rPr>
          <w:sz w:val="28"/>
          <w:szCs w:val="28"/>
        </w:rPr>
        <w:t>effectively</w:t>
      </w:r>
      <w:r w:rsidR="007F74BA" w:rsidRPr="007F1A46">
        <w:rPr>
          <w:sz w:val="28"/>
          <w:szCs w:val="28"/>
        </w:rPr>
        <w:t xml:space="preserve"> </w:t>
      </w:r>
      <w:r w:rsidR="00156496" w:rsidRPr="007F1A46">
        <w:rPr>
          <w:sz w:val="28"/>
          <w:szCs w:val="28"/>
        </w:rPr>
        <w:t xml:space="preserve">changing </w:t>
      </w:r>
      <w:r w:rsidR="007F74BA" w:rsidRPr="007F1A46">
        <w:rPr>
          <w:sz w:val="28"/>
          <w:szCs w:val="28"/>
        </w:rPr>
        <w:t xml:space="preserve">the </w:t>
      </w:r>
      <w:r w:rsidR="008C3D63" w:rsidRPr="007F1A46">
        <w:rPr>
          <w:sz w:val="28"/>
          <w:szCs w:val="28"/>
        </w:rPr>
        <w:t xml:space="preserve">old legal position </w:t>
      </w:r>
      <w:r w:rsidR="00156496" w:rsidRPr="007F1A46">
        <w:rPr>
          <w:sz w:val="28"/>
          <w:szCs w:val="28"/>
        </w:rPr>
        <w:t xml:space="preserve">which was laid down </w:t>
      </w:r>
      <w:r w:rsidR="008C3D63" w:rsidRPr="007F1A46">
        <w:rPr>
          <w:sz w:val="28"/>
          <w:szCs w:val="28"/>
        </w:rPr>
        <w:t xml:space="preserve">in the case of </w:t>
      </w:r>
      <w:r w:rsidR="008C3D63" w:rsidRPr="007F1A46">
        <w:rPr>
          <w:b/>
          <w:sz w:val="28"/>
          <w:szCs w:val="28"/>
        </w:rPr>
        <w:t>Bugere</w:t>
      </w:r>
      <w:r w:rsidR="00E279BF" w:rsidRPr="007F1A46">
        <w:rPr>
          <w:b/>
          <w:sz w:val="28"/>
          <w:szCs w:val="28"/>
        </w:rPr>
        <w:t>re</w:t>
      </w:r>
      <w:r w:rsidR="008C3D63" w:rsidRPr="007F1A46">
        <w:rPr>
          <w:b/>
          <w:sz w:val="28"/>
          <w:szCs w:val="28"/>
        </w:rPr>
        <w:t xml:space="preserve"> Coffee Gr</w:t>
      </w:r>
      <w:r w:rsidR="00367A12" w:rsidRPr="007F1A46">
        <w:rPr>
          <w:b/>
          <w:sz w:val="28"/>
          <w:szCs w:val="28"/>
        </w:rPr>
        <w:t>owers Ltd v Sebaduka &amp; Another [1970]</w:t>
      </w:r>
      <w:r w:rsidR="008C3D63" w:rsidRPr="007F1A46">
        <w:rPr>
          <w:b/>
          <w:sz w:val="28"/>
          <w:szCs w:val="28"/>
        </w:rPr>
        <w:t xml:space="preserve"> EA 147</w:t>
      </w:r>
      <w:r w:rsidR="008C3D63" w:rsidRPr="007F1A46">
        <w:rPr>
          <w:sz w:val="28"/>
          <w:szCs w:val="28"/>
        </w:rPr>
        <w:t xml:space="preserve"> </w:t>
      </w:r>
      <w:r w:rsidR="008C3D63" w:rsidRPr="007F1A46">
        <w:rPr>
          <w:sz w:val="28"/>
          <w:szCs w:val="28"/>
        </w:rPr>
        <w:lastRenderedPageBreak/>
        <w:t xml:space="preserve">which </w:t>
      </w:r>
      <w:r w:rsidR="00156496" w:rsidRPr="007F1A46">
        <w:rPr>
          <w:sz w:val="28"/>
          <w:szCs w:val="28"/>
        </w:rPr>
        <w:t>held</w:t>
      </w:r>
      <w:r w:rsidR="008C3D63" w:rsidRPr="007F1A46">
        <w:rPr>
          <w:sz w:val="28"/>
          <w:szCs w:val="28"/>
        </w:rPr>
        <w:t xml:space="preserve"> that a</w:t>
      </w:r>
      <w:r w:rsidR="00156496" w:rsidRPr="007F1A46">
        <w:rPr>
          <w:sz w:val="28"/>
          <w:szCs w:val="28"/>
        </w:rPr>
        <w:t xml:space="preserve">n explicit </w:t>
      </w:r>
      <w:r w:rsidR="008C3D63" w:rsidRPr="007F1A46">
        <w:rPr>
          <w:sz w:val="28"/>
          <w:szCs w:val="28"/>
        </w:rPr>
        <w:t xml:space="preserve">resolution </w:t>
      </w:r>
      <w:r w:rsidR="00156496" w:rsidRPr="007F1A46">
        <w:rPr>
          <w:sz w:val="28"/>
          <w:szCs w:val="28"/>
        </w:rPr>
        <w:t xml:space="preserve">board was required for any action of a company’s officer to bind a company with this </w:t>
      </w:r>
      <w:r w:rsidR="007F74BA" w:rsidRPr="007F1A46">
        <w:rPr>
          <w:sz w:val="28"/>
          <w:szCs w:val="28"/>
        </w:rPr>
        <w:t xml:space="preserve">position being </w:t>
      </w:r>
      <w:r w:rsidR="008C3D63" w:rsidRPr="007F1A46">
        <w:rPr>
          <w:sz w:val="28"/>
          <w:szCs w:val="28"/>
        </w:rPr>
        <w:t xml:space="preserve"> confirm</w:t>
      </w:r>
      <w:r w:rsidR="007F74BA" w:rsidRPr="007F1A46">
        <w:rPr>
          <w:sz w:val="28"/>
          <w:szCs w:val="28"/>
        </w:rPr>
        <w:t>ed</w:t>
      </w:r>
      <w:r w:rsidR="008C3D63" w:rsidRPr="007F1A46">
        <w:rPr>
          <w:sz w:val="28"/>
          <w:szCs w:val="28"/>
        </w:rPr>
        <w:t xml:space="preserve"> </w:t>
      </w:r>
      <w:r w:rsidR="00156496" w:rsidRPr="007F1A46">
        <w:rPr>
          <w:sz w:val="28"/>
          <w:szCs w:val="28"/>
        </w:rPr>
        <w:t xml:space="preserve">by the |Supreme court </w:t>
      </w:r>
      <w:r w:rsidR="008C3D63" w:rsidRPr="007F1A46">
        <w:rPr>
          <w:sz w:val="28"/>
          <w:szCs w:val="28"/>
        </w:rPr>
        <w:t xml:space="preserve">in </w:t>
      </w:r>
      <w:r w:rsidR="007F74BA" w:rsidRPr="007F1A46">
        <w:rPr>
          <w:sz w:val="28"/>
          <w:szCs w:val="28"/>
        </w:rPr>
        <w:t xml:space="preserve">the case of </w:t>
      </w:r>
      <w:r w:rsidR="00E279BF" w:rsidRPr="007F1A46">
        <w:rPr>
          <w:b/>
          <w:sz w:val="28"/>
          <w:szCs w:val="28"/>
        </w:rPr>
        <w:t xml:space="preserve">Tatu Naiga &amp; Co. Emporium v Verjee Brothers Ltd </w:t>
      </w:r>
      <w:r w:rsidR="00156496" w:rsidRPr="007F1A46">
        <w:rPr>
          <w:b/>
          <w:sz w:val="28"/>
          <w:szCs w:val="28"/>
        </w:rPr>
        <w:t>Civil Appeal No</w:t>
      </w:r>
      <w:r w:rsidR="008C3D63" w:rsidRPr="007F1A46">
        <w:rPr>
          <w:b/>
          <w:sz w:val="28"/>
          <w:szCs w:val="28"/>
        </w:rPr>
        <w:t xml:space="preserve">. 8 </w:t>
      </w:r>
      <w:r w:rsidR="00E279BF" w:rsidRPr="007F1A46">
        <w:rPr>
          <w:b/>
          <w:sz w:val="28"/>
          <w:szCs w:val="28"/>
        </w:rPr>
        <w:t>of</w:t>
      </w:r>
      <w:r w:rsidR="008C3D63" w:rsidRPr="007F1A46">
        <w:rPr>
          <w:b/>
          <w:sz w:val="28"/>
          <w:szCs w:val="28"/>
        </w:rPr>
        <w:t xml:space="preserve"> 2000</w:t>
      </w:r>
      <w:r w:rsidR="00E279BF" w:rsidRPr="007F1A46">
        <w:rPr>
          <w:b/>
          <w:sz w:val="28"/>
          <w:szCs w:val="28"/>
        </w:rPr>
        <w:t xml:space="preserve"> </w:t>
      </w:r>
      <w:r w:rsidR="007F74BA" w:rsidRPr="007F1A46">
        <w:rPr>
          <w:b/>
          <w:sz w:val="28"/>
          <w:szCs w:val="28"/>
        </w:rPr>
        <w:t xml:space="preserve"> </w:t>
      </w:r>
      <w:r w:rsidR="007F74BA" w:rsidRPr="007F1A46">
        <w:rPr>
          <w:sz w:val="28"/>
          <w:szCs w:val="28"/>
        </w:rPr>
        <w:t xml:space="preserve">where </w:t>
      </w:r>
      <w:r w:rsidR="008C3D63" w:rsidRPr="007F1A46">
        <w:rPr>
          <w:sz w:val="28"/>
          <w:szCs w:val="28"/>
        </w:rPr>
        <w:t>Kanyeihamba JSC</w:t>
      </w:r>
      <w:r w:rsidR="008C3D63" w:rsidRPr="007F1A46">
        <w:rPr>
          <w:b/>
          <w:sz w:val="28"/>
          <w:szCs w:val="28"/>
        </w:rPr>
        <w:t xml:space="preserve"> </w:t>
      </w:r>
      <w:r w:rsidR="008C3D63" w:rsidRPr="007F1A46">
        <w:rPr>
          <w:sz w:val="28"/>
          <w:szCs w:val="28"/>
        </w:rPr>
        <w:t>held that any director or manager or officer wh</w:t>
      </w:r>
      <w:r w:rsidR="007F74BA" w:rsidRPr="007F1A46">
        <w:rPr>
          <w:sz w:val="28"/>
          <w:szCs w:val="28"/>
        </w:rPr>
        <w:t>o is authorized to act for the company or who holds out to act for the company</w:t>
      </w:r>
      <w:r w:rsidR="00B64AAC" w:rsidRPr="007F1A46">
        <w:rPr>
          <w:sz w:val="28"/>
          <w:szCs w:val="28"/>
        </w:rPr>
        <w:t xml:space="preserve"> had</w:t>
      </w:r>
      <w:r w:rsidR="008C3D63" w:rsidRPr="007F1A46">
        <w:rPr>
          <w:sz w:val="28"/>
          <w:szCs w:val="28"/>
        </w:rPr>
        <w:t xml:space="preserve"> the powers of the </w:t>
      </w:r>
      <w:r w:rsidR="007F74BA" w:rsidRPr="007F1A46">
        <w:rPr>
          <w:sz w:val="28"/>
          <w:szCs w:val="28"/>
        </w:rPr>
        <w:t xml:space="preserve">board of directors </w:t>
      </w:r>
      <w:r w:rsidR="008C3D63" w:rsidRPr="007F1A46">
        <w:rPr>
          <w:sz w:val="28"/>
          <w:szCs w:val="28"/>
        </w:rPr>
        <w:t>to act on that behalf</w:t>
      </w:r>
      <w:r w:rsidR="007F74BA" w:rsidRPr="007F1A46">
        <w:rPr>
          <w:sz w:val="28"/>
          <w:szCs w:val="28"/>
        </w:rPr>
        <w:t xml:space="preserve"> </w:t>
      </w:r>
      <w:r w:rsidR="00B64AAC" w:rsidRPr="007F1A46">
        <w:rPr>
          <w:sz w:val="28"/>
          <w:szCs w:val="28"/>
        </w:rPr>
        <w:t xml:space="preserve">meaning that the Defendant’s Chief Operations Officer </w:t>
      </w:r>
      <w:r w:rsidR="00C101F1" w:rsidRPr="007F1A46">
        <w:rPr>
          <w:sz w:val="28"/>
          <w:szCs w:val="28"/>
        </w:rPr>
        <w:t>Byarugaba</w:t>
      </w:r>
      <w:r w:rsidR="007F74BA" w:rsidRPr="007F1A46">
        <w:rPr>
          <w:sz w:val="28"/>
          <w:szCs w:val="28"/>
        </w:rPr>
        <w:t xml:space="preserve"> (DW1)</w:t>
      </w:r>
      <w:r w:rsidR="00C101F1" w:rsidRPr="007F1A46">
        <w:rPr>
          <w:sz w:val="28"/>
          <w:szCs w:val="28"/>
        </w:rPr>
        <w:t xml:space="preserve"> </w:t>
      </w:r>
      <w:r w:rsidR="00B64AAC" w:rsidRPr="007F1A46">
        <w:rPr>
          <w:sz w:val="28"/>
          <w:szCs w:val="28"/>
        </w:rPr>
        <w:t xml:space="preserve">was in the instant case properly authorised and thus did enter into </w:t>
      </w:r>
      <w:r w:rsidR="007428AC" w:rsidRPr="007F1A46">
        <w:rPr>
          <w:sz w:val="28"/>
          <w:szCs w:val="28"/>
        </w:rPr>
        <w:t>a</w:t>
      </w:r>
      <w:r w:rsidR="00B64AAC" w:rsidRPr="007F1A46">
        <w:rPr>
          <w:sz w:val="28"/>
          <w:szCs w:val="28"/>
        </w:rPr>
        <w:t xml:space="preserve"> new agreement altering </w:t>
      </w:r>
      <w:r w:rsidR="007428AC" w:rsidRPr="007F1A46">
        <w:rPr>
          <w:sz w:val="28"/>
          <w:szCs w:val="28"/>
        </w:rPr>
        <w:t xml:space="preserve">the </w:t>
      </w:r>
      <w:r w:rsidR="00B64AAC" w:rsidRPr="007F1A46">
        <w:rPr>
          <w:sz w:val="28"/>
          <w:szCs w:val="28"/>
        </w:rPr>
        <w:t xml:space="preserve">clause </w:t>
      </w:r>
      <w:r w:rsidR="007428AC" w:rsidRPr="007F1A46">
        <w:rPr>
          <w:sz w:val="28"/>
          <w:szCs w:val="28"/>
        </w:rPr>
        <w:t xml:space="preserve">which was </w:t>
      </w:r>
      <w:r w:rsidR="00B64AAC" w:rsidRPr="007F1A46">
        <w:rPr>
          <w:sz w:val="28"/>
          <w:szCs w:val="28"/>
        </w:rPr>
        <w:t xml:space="preserve">contained in the earlier lease provisions </w:t>
      </w:r>
      <w:r w:rsidR="00BE3458" w:rsidRPr="007F1A46">
        <w:rPr>
          <w:sz w:val="28"/>
          <w:szCs w:val="28"/>
        </w:rPr>
        <w:t>with</w:t>
      </w:r>
      <w:r w:rsidR="00C101F1" w:rsidRPr="007F1A46">
        <w:rPr>
          <w:sz w:val="28"/>
          <w:szCs w:val="28"/>
        </w:rPr>
        <w:t xml:space="preserve"> full powers of the </w:t>
      </w:r>
      <w:r w:rsidR="007F74BA" w:rsidRPr="007F1A46">
        <w:rPr>
          <w:sz w:val="28"/>
          <w:szCs w:val="28"/>
        </w:rPr>
        <w:t>b</w:t>
      </w:r>
      <w:r w:rsidR="00C101F1" w:rsidRPr="007F1A46">
        <w:rPr>
          <w:sz w:val="28"/>
          <w:szCs w:val="28"/>
        </w:rPr>
        <w:t>oard to execute the agreement Ex</w:t>
      </w:r>
      <w:r w:rsidR="007F74BA" w:rsidRPr="007F1A46">
        <w:rPr>
          <w:sz w:val="28"/>
          <w:szCs w:val="28"/>
        </w:rPr>
        <w:t>hibits B1, B2</w:t>
      </w:r>
      <w:r w:rsidR="00C101F1" w:rsidRPr="007F1A46">
        <w:rPr>
          <w:sz w:val="28"/>
          <w:szCs w:val="28"/>
        </w:rPr>
        <w:t xml:space="preserve"> and </w:t>
      </w:r>
      <w:r w:rsidR="007F74BA" w:rsidRPr="007F1A46">
        <w:rPr>
          <w:sz w:val="28"/>
          <w:szCs w:val="28"/>
        </w:rPr>
        <w:t xml:space="preserve">Y and  </w:t>
      </w:r>
      <w:r w:rsidR="00BE3458" w:rsidRPr="007F1A46">
        <w:rPr>
          <w:sz w:val="28"/>
          <w:szCs w:val="28"/>
        </w:rPr>
        <w:t xml:space="preserve">that </w:t>
      </w:r>
      <w:r w:rsidR="007F74BA" w:rsidRPr="007F1A46">
        <w:rPr>
          <w:sz w:val="28"/>
          <w:szCs w:val="28"/>
        </w:rPr>
        <w:t>th</w:t>
      </w:r>
      <w:r w:rsidR="00BE3458" w:rsidRPr="007F1A46">
        <w:rPr>
          <w:sz w:val="28"/>
          <w:szCs w:val="28"/>
        </w:rPr>
        <w:t xml:space="preserve">is </w:t>
      </w:r>
      <w:r w:rsidR="007F74BA" w:rsidRPr="007F1A46">
        <w:rPr>
          <w:sz w:val="28"/>
          <w:szCs w:val="28"/>
        </w:rPr>
        <w:t>c</w:t>
      </w:r>
      <w:r w:rsidR="00C101F1" w:rsidRPr="007F1A46">
        <w:rPr>
          <w:sz w:val="28"/>
          <w:szCs w:val="28"/>
        </w:rPr>
        <w:t xml:space="preserve">ourt should </w:t>
      </w:r>
      <w:r w:rsidR="00BE3458" w:rsidRPr="007F1A46">
        <w:rPr>
          <w:sz w:val="28"/>
          <w:szCs w:val="28"/>
        </w:rPr>
        <w:t xml:space="preserve">therefore </w:t>
      </w:r>
      <w:r w:rsidR="00C101F1" w:rsidRPr="007F1A46">
        <w:rPr>
          <w:sz w:val="28"/>
          <w:szCs w:val="28"/>
        </w:rPr>
        <w:t xml:space="preserve">reject his belated assertion that he was not mandated and had no authority to r give away the properties </w:t>
      </w:r>
      <w:r w:rsidR="00BE3458" w:rsidRPr="007F1A46">
        <w:rPr>
          <w:sz w:val="28"/>
          <w:szCs w:val="28"/>
        </w:rPr>
        <w:t>as he took</w:t>
      </w:r>
      <w:r w:rsidR="00C101F1" w:rsidRPr="007F1A46">
        <w:rPr>
          <w:sz w:val="28"/>
          <w:szCs w:val="28"/>
        </w:rPr>
        <w:t xml:space="preserve"> a conscious decision to leave the listed items intact, in lieu of removing them </w:t>
      </w:r>
      <w:r w:rsidR="00BE3458" w:rsidRPr="007F1A46">
        <w:rPr>
          <w:sz w:val="28"/>
          <w:szCs w:val="28"/>
        </w:rPr>
        <w:t>and</w:t>
      </w:r>
      <w:r w:rsidR="007F74BA" w:rsidRPr="007F1A46">
        <w:rPr>
          <w:sz w:val="28"/>
          <w:szCs w:val="28"/>
        </w:rPr>
        <w:t xml:space="preserve"> t</w:t>
      </w:r>
      <w:r w:rsidR="00BE3458" w:rsidRPr="007F1A46">
        <w:rPr>
          <w:sz w:val="28"/>
          <w:szCs w:val="28"/>
        </w:rPr>
        <w:t>he P</w:t>
      </w:r>
      <w:r w:rsidR="00D142EE" w:rsidRPr="007F1A46">
        <w:rPr>
          <w:sz w:val="28"/>
          <w:szCs w:val="28"/>
        </w:rPr>
        <w:t xml:space="preserve">laintiff </w:t>
      </w:r>
      <w:r w:rsidR="00367A12" w:rsidRPr="007F1A46">
        <w:rPr>
          <w:sz w:val="28"/>
          <w:szCs w:val="28"/>
        </w:rPr>
        <w:t xml:space="preserve">company relied on that promise to </w:t>
      </w:r>
      <w:r w:rsidR="00893CB2" w:rsidRPr="007F1A46">
        <w:rPr>
          <w:sz w:val="28"/>
          <w:szCs w:val="28"/>
        </w:rPr>
        <w:t>forego its</w:t>
      </w:r>
      <w:r w:rsidR="00D142EE" w:rsidRPr="007F1A46">
        <w:rPr>
          <w:sz w:val="28"/>
          <w:szCs w:val="28"/>
        </w:rPr>
        <w:t xml:space="preserve"> pursuit of </w:t>
      </w:r>
      <w:r w:rsidR="00893CB2" w:rsidRPr="007F1A46">
        <w:rPr>
          <w:sz w:val="28"/>
          <w:szCs w:val="28"/>
        </w:rPr>
        <w:t>its</w:t>
      </w:r>
      <w:r w:rsidR="00D142EE" w:rsidRPr="007F1A46">
        <w:rPr>
          <w:sz w:val="28"/>
          <w:szCs w:val="28"/>
        </w:rPr>
        <w:t xml:space="preserve"> rights to enforce </w:t>
      </w:r>
      <w:r w:rsidR="00893CB2" w:rsidRPr="007F1A46">
        <w:rPr>
          <w:sz w:val="28"/>
          <w:szCs w:val="28"/>
        </w:rPr>
        <w:t xml:space="preserve">the </w:t>
      </w:r>
      <w:r w:rsidR="00367A12" w:rsidRPr="007F1A46">
        <w:rPr>
          <w:sz w:val="28"/>
          <w:szCs w:val="28"/>
        </w:rPr>
        <w:t>tenant’s</w:t>
      </w:r>
      <w:r w:rsidR="00D142EE" w:rsidRPr="007F1A46">
        <w:rPr>
          <w:sz w:val="28"/>
          <w:szCs w:val="28"/>
        </w:rPr>
        <w:t xml:space="preserve"> obligations </w:t>
      </w:r>
      <w:r w:rsidR="00893CB2" w:rsidRPr="007F1A46">
        <w:rPr>
          <w:sz w:val="28"/>
          <w:szCs w:val="28"/>
        </w:rPr>
        <w:t xml:space="preserve">at termination of </w:t>
      </w:r>
      <w:r w:rsidR="00BE3458" w:rsidRPr="007F1A46">
        <w:rPr>
          <w:sz w:val="28"/>
          <w:szCs w:val="28"/>
        </w:rPr>
        <w:t>the lease thus was</w:t>
      </w:r>
      <w:r w:rsidR="00893CB2" w:rsidRPr="007F1A46">
        <w:rPr>
          <w:sz w:val="28"/>
          <w:szCs w:val="28"/>
        </w:rPr>
        <w:t xml:space="preserve"> d</w:t>
      </w:r>
      <w:r w:rsidR="00D142EE" w:rsidRPr="007F1A46">
        <w:rPr>
          <w:sz w:val="28"/>
          <w:szCs w:val="28"/>
        </w:rPr>
        <w:t>eprived of those items whose value was at U</w:t>
      </w:r>
      <w:r w:rsidR="005207E0" w:rsidRPr="007F1A46">
        <w:rPr>
          <w:sz w:val="28"/>
          <w:szCs w:val="28"/>
        </w:rPr>
        <w:t>g. S</w:t>
      </w:r>
      <w:r w:rsidR="00D142EE" w:rsidRPr="007F1A46">
        <w:rPr>
          <w:sz w:val="28"/>
          <w:szCs w:val="28"/>
        </w:rPr>
        <w:t>hs 102,678,76</w:t>
      </w:r>
      <w:r w:rsidR="00893CB2" w:rsidRPr="007F1A46">
        <w:rPr>
          <w:sz w:val="28"/>
          <w:szCs w:val="28"/>
        </w:rPr>
        <w:t xml:space="preserve">6/= in 2007 when they were sold to another party </w:t>
      </w:r>
      <w:r w:rsidR="00BE3458" w:rsidRPr="007F1A46">
        <w:rPr>
          <w:sz w:val="28"/>
          <w:szCs w:val="28"/>
        </w:rPr>
        <w:t>for which</w:t>
      </w:r>
      <w:r w:rsidR="00E14BD5" w:rsidRPr="007F1A46">
        <w:rPr>
          <w:sz w:val="28"/>
          <w:szCs w:val="28"/>
        </w:rPr>
        <w:t xml:space="preserve"> the P</w:t>
      </w:r>
      <w:r w:rsidR="00893CB2" w:rsidRPr="007F1A46">
        <w:rPr>
          <w:sz w:val="28"/>
          <w:szCs w:val="28"/>
        </w:rPr>
        <w:t xml:space="preserve">laintiff sought orders of this court to find that the </w:t>
      </w:r>
      <w:r w:rsidR="00E14BD5" w:rsidRPr="007F1A46">
        <w:rPr>
          <w:sz w:val="28"/>
          <w:szCs w:val="28"/>
        </w:rPr>
        <w:t>D</w:t>
      </w:r>
      <w:r w:rsidR="007911F0" w:rsidRPr="007F1A46">
        <w:rPr>
          <w:sz w:val="28"/>
          <w:szCs w:val="28"/>
        </w:rPr>
        <w:t xml:space="preserve">efendant </w:t>
      </w:r>
      <w:r w:rsidR="00893CB2" w:rsidRPr="007F1A46">
        <w:rPr>
          <w:sz w:val="28"/>
          <w:szCs w:val="28"/>
        </w:rPr>
        <w:t xml:space="preserve">was in </w:t>
      </w:r>
      <w:r w:rsidR="00E14BD5" w:rsidRPr="007F1A46">
        <w:rPr>
          <w:sz w:val="28"/>
          <w:szCs w:val="28"/>
        </w:rPr>
        <w:t xml:space="preserve">breach. </w:t>
      </w:r>
    </w:p>
    <w:p w:rsidR="00BF651A" w:rsidRPr="007F1A46" w:rsidRDefault="00E14BD5" w:rsidP="00AF5FE0">
      <w:pPr>
        <w:spacing w:line="480" w:lineRule="auto"/>
        <w:jc w:val="both"/>
        <w:rPr>
          <w:sz w:val="28"/>
          <w:szCs w:val="28"/>
        </w:rPr>
      </w:pPr>
      <w:r w:rsidRPr="007F1A46">
        <w:rPr>
          <w:sz w:val="28"/>
          <w:szCs w:val="28"/>
        </w:rPr>
        <w:t>The P</w:t>
      </w:r>
      <w:r w:rsidR="000A5F84" w:rsidRPr="007F1A46">
        <w:rPr>
          <w:sz w:val="28"/>
          <w:szCs w:val="28"/>
        </w:rPr>
        <w:t xml:space="preserve">laintiff’s memo </w:t>
      </w:r>
      <w:r w:rsidRPr="007F1A46">
        <w:rPr>
          <w:sz w:val="28"/>
          <w:szCs w:val="28"/>
        </w:rPr>
        <w:t xml:space="preserve">in this respect </w:t>
      </w:r>
      <w:r w:rsidR="000A5F84" w:rsidRPr="007F1A46">
        <w:rPr>
          <w:sz w:val="28"/>
          <w:szCs w:val="28"/>
        </w:rPr>
        <w:t>dated the 13</w:t>
      </w:r>
      <w:r w:rsidR="000A5F84" w:rsidRPr="007F1A46">
        <w:rPr>
          <w:sz w:val="28"/>
          <w:szCs w:val="28"/>
          <w:vertAlign w:val="superscript"/>
        </w:rPr>
        <w:t>th</w:t>
      </w:r>
      <w:r w:rsidR="000A5F84" w:rsidRPr="007F1A46">
        <w:rPr>
          <w:sz w:val="28"/>
          <w:szCs w:val="28"/>
        </w:rPr>
        <w:t xml:space="preserve"> March 2008</w:t>
      </w:r>
      <w:r w:rsidR="002312CE" w:rsidRPr="007F1A46">
        <w:rPr>
          <w:sz w:val="28"/>
          <w:szCs w:val="28"/>
        </w:rPr>
        <w:t xml:space="preserve"> does not seem though to give a conclusive view of this matter for it does not clearly raise the </w:t>
      </w:r>
      <w:r w:rsidR="002312CE" w:rsidRPr="007F1A46">
        <w:rPr>
          <w:sz w:val="28"/>
          <w:szCs w:val="28"/>
        </w:rPr>
        <w:lastRenderedPageBreak/>
        <w:t xml:space="preserve">issue of  whether the Plaintiff was claiming those chattels as belonging to it </w:t>
      </w:r>
      <w:r w:rsidR="00D754FB" w:rsidRPr="007F1A46">
        <w:rPr>
          <w:sz w:val="28"/>
          <w:szCs w:val="28"/>
        </w:rPr>
        <w:t xml:space="preserve">or </w:t>
      </w:r>
      <w:r w:rsidR="0020604E" w:rsidRPr="007F1A46">
        <w:rPr>
          <w:sz w:val="28"/>
          <w:szCs w:val="28"/>
        </w:rPr>
        <w:t>to</w:t>
      </w:r>
      <w:r w:rsidR="00D754FB" w:rsidRPr="007F1A46">
        <w:rPr>
          <w:sz w:val="28"/>
          <w:szCs w:val="28"/>
        </w:rPr>
        <w:t xml:space="preserve"> the tenant</w:t>
      </w:r>
      <w:r w:rsidR="000A5F84" w:rsidRPr="007F1A46">
        <w:rPr>
          <w:sz w:val="28"/>
          <w:szCs w:val="28"/>
        </w:rPr>
        <w:t xml:space="preserve"> </w:t>
      </w:r>
      <w:r w:rsidR="0020604E" w:rsidRPr="007F1A46">
        <w:rPr>
          <w:sz w:val="28"/>
          <w:szCs w:val="28"/>
        </w:rPr>
        <w:t>with</w:t>
      </w:r>
      <w:r w:rsidR="002312CE" w:rsidRPr="007F1A46">
        <w:rPr>
          <w:sz w:val="28"/>
          <w:szCs w:val="28"/>
        </w:rPr>
        <w:t xml:space="preserve"> Wavamuno (</w:t>
      </w:r>
      <w:r w:rsidR="0065242B" w:rsidRPr="007F1A46">
        <w:rPr>
          <w:sz w:val="28"/>
          <w:szCs w:val="28"/>
        </w:rPr>
        <w:t>PW1</w:t>
      </w:r>
      <w:r w:rsidR="002312CE" w:rsidRPr="007F1A46">
        <w:rPr>
          <w:sz w:val="28"/>
          <w:szCs w:val="28"/>
        </w:rPr>
        <w:t xml:space="preserve">) </w:t>
      </w:r>
      <w:r w:rsidR="0020604E" w:rsidRPr="007F1A46">
        <w:rPr>
          <w:sz w:val="28"/>
          <w:szCs w:val="28"/>
        </w:rPr>
        <w:t xml:space="preserve">categorically admitting </w:t>
      </w:r>
      <w:r w:rsidR="002312CE" w:rsidRPr="007F1A46">
        <w:rPr>
          <w:sz w:val="28"/>
          <w:szCs w:val="28"/>
        </w:rPr>
        <w:t xml:space="preserve">during </w:t>
      </w:r>
      <w:r w:rsidR="00BF651A" w:rsidRPr="007F1A46">
        <w:rPr>
          <w:sz w:val="28"/>
          <w:szCs w:val="28"/>
        </w:rPr>
        <w:t xml:space="preserve">cross examination that </w:t>
      </w:r>
      <w:r w:rsidR="0020604E" w:rsidRPr="007F1A46">
        <w:rPr>
          <w:sz w:val="28"/>
          <w:szCs w:val="28"/>
        </w:rPr>
        <w:t xml:space="preserve">as far as he was concerned </w:t>
      </w:r>
      <w:r w:rsidR="00BF651A" w:rsidRPr="007F1A46">
        <w:rPr>
          <w:sz w:val="28"/>
          <w:szCs w:val="28"/>
        </w:rPr>
        <w:t xml:space="preserve">the relation between the </w:t>
      </w:r>
      <w:r w:rsidR="002312CE" w:rsidRPr="007F1A46">
        <w:rPr>
          <w:sz w:val="28"/>
          <w:szCs w:val="28"/>
        </w:rPr>
        <w:t xml:space="preserve">Plaintiff </w:t>
      </w:r>
      <w:r w:rsidR="0065242B" w:rsidRPr="007F1A46">
        <w:rPr>
          <w:sz w:val="28"/>
          <w:szCs w:val="28"/>
        </w:rPr>
        <w:t xml:space="preserve">and the </w:t>
      </w:r>
      <w:r w:rsidR="002312CE" w:rsidRPr="007F1A46">
        <w:rPr>
          <w:sz w:val="28"/>
          <w:szCs w:val="28"/>
        </w:rPr>
        <w:t xml:space="preserve">Defendant </w:t>
      </w:r>
      <w:r w:rsidR="0020604E" w:rsidRPr="007F1A46">
        <w:rPr>
          <w:sz w:val="28"/>
          <w:szCs w:val="28"/>
        </w:rPr>
        <w:t xml:space="preserve">which </w:t>
      </w:r>
      <w:r w:rsidR="0065242B" w:rsidRPr="007F1A46">
        <w:rPr>
          <w:sz w:val="28"/>
          <w:szCs w:val="28"/>
        </w:rPr>
        <w:t>was one of l</w:t>
      </w:r>
      <w:r w:rsidR="00BF651A" w:rsidRPr="007F1A46">
        <w:rPr>
          <w:sz w:val="28"/>
          <w:szCs w:val="28"/>
        </w:rPr>
        <w:t xml:space="preserve">andlord and tenant was governed by </w:t>
      </w:r>
      <w:r w:rsidR="0020604E" w:rsidRPr="007F1A46">
        <w:rPr>
          <w:sz w:val="28"/>
          <w:szCs w:val="28"/>
        </w:rPr>
        <w:t xml:space="preserve">the </w:t>
      </w:r>
      <w:r w:rsidR="00BF651A" w:rsidRPr="007F1A46">
        <w:rPr>
          <w:sz w:val="28"/>
          <w:szCs w:val="28"/>
        </w:rPr>
        <w:t xml:space="preserve">written </w:t>
      </w:r>
      <w:r w:rsidR="0065242B" w:rsidRPr="007F1A46">
        <w:rPr>
          <w:sz w:val="28"/>
          <w:szCs w:val="28"/>
        </w:rPr>
        <w:t>tenancy agreement</w:t>
      </w:r>
      <w:r w:rsidR="00BF651A" w:rsidRPr="007F1A46">
        <w:rPr>
          <w:sz w:val="28"/>
          <w:szCs w:val="28"/>
        </w:rPr>
        <w:t xml:space="preserve"> </w:t>
      </w:r>
      <w:r w:rsidR="0065242B" w:rsidRPr="007F1A46">
        <w:rPr>
          <w:sz w:val="28"/>
          <w:szCs w:val="28"/>
        </w:rPr>
        <w:t>(Exhibit P1)</w:t>
      </w:r>
      <w:r w:rsidR="00BF651A" w:rsidRPr="007F1A46">
        <w:rPr>
          <w:sz w:val="28"/>
          <w:szCs w:val="28"/>
        </w:rPr>
        <w:t xml:space="preserve"> between the parties </w:t>
      </w:r>
      <w:r w:rsidR="00E30AA3" w:rsidRPr="007F1A46">
        <w:rPr>
          <w:sz w:val="28"/>
          <w:szCs w:val="28"/>
        </w:rPr>
        <w:t>of July 200</w:t>
      </w:r>
      <w:r w:rsidR="0020604E" w:rsidRPr="007F1A46">
        <w:rPr>
          <w:sz w:val="28"/>
          <w:szCs w:val="28"/>
        </w:rPr>
        <w:t>0</w:t>
      </w:r>
      <w:r w:rsidR="00E30AA3" w:rsidRPr="007F1A46">
        <w:rPr>
          <w:sz w:val="28"/>
          <w:szCs w:val="28"/>
        </w:rPr>
        <w:t xml:space="preserve"> w</w:t>
      </w:r>
      <w:r w:rsidR="0020604E" w:rsidRPr="007F1A46">
        <w:rPr>
          <w:sz w:val="28"/>
          <w:szCs w:val="28"/>
        </w:rPr>
        <w:t xml:space="preserve">hose </w:t>
      </w:r>
      <w:r w:rsidR="00E30AA3" w:rsidRPr="007F1A46">
        <w:rPr>
          <w:sz w:val="28"/>
          <w:szCs w:val="28"/>
        </w:rPr>
        <w:t xml:space="preserve"> </w:t>
      </w:r>
      <w:r w:rsidR="00BF651A" w:rsidRPr="007F1A46">
        <w:rPr>
          <w:sz w:val="28"/>
          <w:szCs w:val="28"/>
        </w:rPr>
        <w:t xml:space="preserve">Clause 4.4 </w:t>
      </w:r>
      <w:r w:rsidR="00E30AA3" w:rsidRPr="007F1A46">
        <w:rPr>
          <w:sz w:val="28"/>
          <w:szCs w:val="28"/>
        </w:rPr>
        <w:t>provid</w:t>
      </w:r>
      <w:r w:rsidR="0020604E" w:rsidRPr="007F1A46">
        <w:rPr>
          <w:sz w:val="28"/>
          <w:szCs w:val="28"/>
        </w:rPr>
        <w:t xml:space="preserve">ed </w:t>
      </w:r>
      <w:r w:rsidR="00E30AA3" w:rsidRPr="007F1A46">
        <w:rPr>
          <w:sz w:val="28"/>
          <w:szCs w:val="28"/>
        </w:rPr>
        <w:t xml:space="preserve">that </w:t>
      </w:r>
      <w:r w:rsidR="00BF651A" w:rsidRPr="007F1A46">
        <w:rPr>
          <w:sz w:val="28"/>
          <w:szCs w:val="28"/>
        </w:rPr>
        <w:t>at the expiration or sooner determination of the term</w:t>
      </w:r>
      <w:r w:rsidR="0020604E" w:rsidRPr="007F1A46">
        <w:rPr>
          <w:sz w:val="28"/>
          <w:szCs w:val="28"/>
        </w:rPr>
        <w:t xml:space="preserve">, the Defendant was to peacefully </w:t>
      </w:r>
      <w:r w:rsidR="00BF651A" w:rsidRPr="007F1A46">
        <w:rPr>
          <w:sz w:val="28"/>
          <w:szCs w:val="28"/>
        </w:rPr>
        <w:t>and quietly</w:t>
      </w:r>
      <w:r w:rsidR="00E30AA3" w:rsidRPr="007F1A46">
        <w:rPr>
          <w:sz w:val="28"/>
          <w:szCs w:val="28"/>
        </w:rPr>
        <w:t xml:space="preserve"> yield up to the l</w:t>
      </w:r>
      <w:r w:rsidR="00BF651A" w:rsidRPr="007F1A46">
        <w:rPr>
          <w:sz w:val="28"/>
          <w:szCs w:val="28"/>
        </w:rPr>
        <w:t xml:space="preserve">andlord the demised premises duly painted, papered, upheld, amended, repaired, cleaned, maintained and kept and if necessary replaced in accordance with the covenants and </w:t>
      </w:r>
      <w:r w:rsidR="003D0B91" w:rsidRPr="007F1A46">
        <w:rPr>
          <w:sz w:val="28"/>
          <w:szCs w:val="28"/>
        </w:rPr>
        <w:t>the making</w:t>
      </w:r>
      <w:r w:rsidR="00BF651A" w:rsidRPr="007F1A46">
        <w:rPr>
          <w:sz w:val="28"/>
          <w:szCs w:val="28"/>
        </w:rPr>
        <w:t xml:space="preserve"> good all damage</w:t>
      </w:r>
      <w:r w:rsidR="003D0B91" w:rsidRPr="007F1A46">
        <w:rPr>
          <w:sz w:val="28"/>
          <w:szCs w:val="28"/>
        </w:rPr>
        <w:t>s</w:t>
      </w:r>
      <w:r w:rsidR="00BF651A" w:rsidRPr="007F1A46">
        <w:rPr>
          <w:sz w:val="28"/>
          <w:szCs w:val="28"/>
        </w:rPr>
        <w:t xml:space="preserve"> occasioned by the removal of the said </w:t>
      </w:r>
      <w:r w:rsidR="00E30AA3" w:rsidRPr="007F1A46">
        <w:rPr>
          <w:sz w:val="28"/>
          <w:szCs w:val="28"/>
        </w:rPr>
        <w:t>tenant’s fixtures and fittings</w:t>
      </w:r>
      <w:r w:rsidR="003D0B91" w:rsidRPr="007F1A46">
        <w:rPr>
          <w:sz w:val="28"/>
          <w:szCs w:val="28"/>
        </w:rPr>
        <w:t xml:space="preserve">. </w:t>
      </w:r>
      <w:r w:rsidR="00322F12" w:rsidRPr="007F1A46">
        <w:rPr>
          <w:sz w:val="28"/>
          <w:szCs w:val="28"/>
        </w:rPr>
        <w:t xml:space="preserve"> </w:t>
      </w:r>
      <w:r w:rsidR="007B6288" w:rsidRPr="007F1A46">
        <w:rPr>
          <w:sz w:val="28"/>
          <w:szCs w:val="28"/>
        </w:rPr>
        <w:t>When</w:t>
      </w:r>
      <w:r w:rsidR="003D0B91" w:rsidRPr="007F1A46">
        <w:rPr>
          <w:sz w:val="28"/>
          <w:szCs w:val="28"/>
        </w:rPr>
        <w:t xml:space="preserve"> this clause is carefully considered vis a vis the contention that </w:t>
      </w:r>
      <w:r w:rsidR="007B6288" w:rsidRPr="007F1A46">
        <w:rPr>
          <w:sz w:val="28"/>
          <w:szCs w:val="28"/>
        </w:rPr>
        <w:t xml:space="preserve">there was alteration to its provisions , I find that this contention that those chattels became those of the Plaintiff lacking for it is clear that for the Clause in the tenancy agreement to be altered , the parties must clearly intend to do so by making exclusions to such if </w:t>
      </w:r>
      <w:r w:rsidR="00EF2442" w:rsidRPr="007F1A46">
        <w:rPr>
          <w:sz w:val="28"/>
          <w:szCs w:val="28"/>
        </w:rPr>
        <w:t xml:space="preserve">Clemmers and Vopak’s cases cited above are to be of any help to the plaintiff for the clearly provide that any exclusion to the common law position must be agreed to by the parties. I would thus find that to argue that a report or any subsequent memo to be considered as having altered the clear clause of a contract to be preposterous for as the decisions in those cases show, any alteration to the common law position must be singularly agreed to by the parties </w:t>
      </w:r>
      <w:r w:rsidR="00EF2442" w:rsidRPr="007F1A46">
        <w:rPr>
          <w:sz w:val="28"/>
          <w:szCs w:val="28"/>
        </w:rPr>
        <w:lastRenderedPageBreak/>
        <w:t xml:space="preserve">during the process when they enter into such a tenancy </w:t>
      </w:r>
      <w:r w:rsidR="00EA1513" w:rsidRPr="007F1A46">
        <w:rPr>
          <w:sz w:val="28"/>
          <w:szCs w:val="28"/>
        </w:rPr>
        <w:t xml:space="preserve">agreement. In my view Clause 4.4 of the tenancy agreement </w:t>
      </w:r>
      <w:r w:rsidR="003D0B91" w:rsidRPr="007F1A46">
        <w:rPr>
          <w:sz w:val="28"/>
          <w:szCs w:val="28"/>
        </w:rPr>
        <w:t>clause made it</w:t>
      </w:r>
      <w:r w:rsidR="00E30AA3" w:rsidRPr="007F1A46">
        <w:rPr>
          <w:sz w:val="28"/>
          <w:szCs w:val="28"/>
        </w:rPr>
        <w:t xml:space="preserve"> </w:t>
      </w:r>
      <w:r w:rsidR="00BF651A" w:rsidRPr="007F1A46">
        <w:rPr>
          <w:sz w:val="28"/>
          <w:szCs w:val="28"/>
        </w:rPr>
        <w:t xml:space="preserve">clear that the </w:t>
      </w:r>
      <w:r w:rsidR="003D0B91" w:rsidRPr="007F1A46">
        <w:rPr>
          <w:sz w:val="28"/>
          <w:szCs w:val="28"/>
        </w:rPr>
        <w:t xml:space="preserve">Defendant </w:t>
      </w:r>
      <w:r w:rsidR="00BF651A" w:rsidRPr="007F1A46">
        <w:rPr>
          <w:sz w:val="28"/>
          <w:szCs w:val="28"/>
        </w:rPr>
        <w:t xml:space="preserve">as </w:t>
      </w:r>
      <w:r w:rsidR="00E30AA3" w:rsidRPr="007F1A46">
        <w:rPr>
          <w:sz w:val="28"/>
          <w:szCs w:val="28"/>
        </w:rPr>
        <w:t xml:space="preserve">a </w:t>
      </w:r>
      <w:r w:rsidR="00BF651A" w:rsidRPr="007F1A46">
        <w:rPr>
          <w:sz w:val="28"/>
          <w:szCs w:val="28"/>
        </w:rPr>
        <w:t xml:space="preserve">tenant was at liberty upon the </w:t>
      </w:r>
      <w:r w:rsidR="00EA1513" w:rsidRPr="007F1A46">
        <w:rPr>
          <w:sz w:val="28"/>
          <w:szCs w:val="28"/>
        </w:rPr>
        <w:t xml:space="preserve">expiry of the </w:t>
      </w:r>
      <w:r w:rsidR="00BF651A" w:rsidRPr="007F1A46">
        <w:rPr>
          <w:sz w:val="28"/>
          <w:szCs w:val="28"/>
        </w:rPr>
        <w:t xml:space="preserve">tenancy to remove </w:t>
      </w:r>
      <w:r w:rsidR="00EA1513" w:rsidRPr="007F1A46">
        <w:rPr>
          <w:sz w:val="28"/>
          <w:szCs w:val="28"/>
        </w:rPr>
        <w:t xml:space="preserve">or deal with </w:t>
      </w:r>
      <w:r w:rsidR="00E30AA3" w:rsidRPr="007F1A46">
        <w:rPr>
          <w:sz w:val="28"/>
          <w:szCs w:val="28"/>
        </w:rPr>
        <w:t>its</w:t>
      </w:r>
      <w:r w:rsidR="00BF651A" w:rsidRPr="007F1A46">
        <w:rPr>
          <w:sz w:val="28"/>
          <w:szCs w:val="28"/>
        </w:rPr>
        <w:t xml:space="preserve"> fixtures and fittings provided it made goo</w:t>
      </w:r>
      <w:r w:rsidR="00E30AA3" w:rsidRPr="007F1A46">
        <w:rPr>
          <w:sz w:val="28"/>
          <w:szCs w:val="28"/>
        </w:rPr>
        <w:t xml:space="preserve">d the damage occasioned </w:t>
      </w:r>
      <w:r w:rsidR="00EA1513" w:rsidRPr="007F1A46">
        <w:rPr>
          <w:sz w:val="28"/>
          <w:szCs w:val="28"/>
        </w:rPr>
        <w:t xml:space="preserve">with </w:t>
      </w:r>
      <w:r w:rsidR="00E30AA3" w:rsidRPr="007F1A46">
        <w:rPr>
          <w:sz w:val="28"/>
          <w:szCs w:val="28"/>
        </w:rPr>
        <w:t xml:space="preserve"> t</w:t>
      </w:r>
      <w:r w:rsidR="00BF651A" w:rsidRPr="007F1A46">
        <w:rPr>
          <w:sz w:val="28"/>
          <w:szCs w:val="28"/>
        </w:rPr>
        <w:t>he it</w:t>
      </w:r>
      <w:r w:rsidR="00E30AA3" w:rsidRPr="007F1A46">
        <w:rPr>
          <w:sz w:val="28"/>
          <w:szCs w:val="28"/>
        </w:rPr>
        <w:t>ems listed as 1 to 14 in E</w:t>
      </w:r>
      <w:r w:rsidR="00BF651A" w:rsidRPr="007F1A46">
        <w:rPr>
          <w:sz w:val="28"/>
          <w:szCs w:val="28"/>
        </w:rPr>
        <w:t>xhibit P2</w:t>
      </w:r>
      <w:r w:rsidR="00E30AA3" w:rsidRPr="007F1A46">
        <w:rPr>
          <w:sz w:val="28"/>
          <w:szCs w:val="28"/>
        </w:rPr>
        <w:t xml:space="preserve"> </w:t>
      </w:r>
      <w:r w:rsidR="00EA1513" w:rsidRPr="007F1A46">
        <w:rPr>
          <w:sz w:val="28"/>
          <w:szCs w:val="28"/>
        </w:rPr>
        <w:t xml:space="preserve">showing that clearly they were the defendant’s chattels as they fell </w:t>
      </w:r>
      <w:r w:rsidR="00BF651A" w:rsidRPr="007F1A46">
        <w:rPr>
          <w:sz w:val="28"/>
          <w:szCs w:val="28"/>
        </w:rPr>
        <w:t xml:space="preserve">into four categories </w:t>
      </w:r>
      <w:r w:rsidR="00EA1513" w:rsidRPr="007F1A46">
        <w:rPr>
          <w:sz w:val="28"/>
          <w:szCs w:val="28"/>
        </w:rPr>
        <w:t xml:space="preserve">such </w:t>
      </w:r>
      <w:r w:rsidR="00BF651A" w:rsidRPr="007F1A46">
        <w:rPr>
          <w:sz w:val="28"/>
          <w:szCs w:val="28"/>
        </w:rPr>
        <w:t xml:space="preserve"> biometric locks, air condition</w:t>
      </w:r>
      <w:r w:rsidR="00EA1513" w:rsidRPr="007F1A46">
        <w:rPr>
          <w:sz w:val="28"/>
          <w:szCs w:val="28"/>
        </w:rPr>
        <w:t>er</w:t>
      </w:r>
      <w:r w:rsidR="00BF651A" w:rsidRPr="007F1A46">
        <w:rPr>
          <w:sz w:val="28"/>
          <w:szCs w:val="28"/>
        </w:rPr>
        <w:t>s, fire alarm system</w:t>
      </w:r>
      <w:r w:rsidR="007F3FB1" w:rsidRPr="007F1A46">
        <w:rPr>
          <w:sz w:val="28"/>
          <w:szCs w:val="28"/>
        </w:rPr>
        <w:t>s</w:t>
      </w:r>
      <w:r w:rsidR="00BF651A" w:rsidRPr="007F1A46">
        <w:rPr>
          <w:sz w:val="28"/>
          <w:szCs w:val="28"/>
        </w:rPr>
        <w:t xml:space="preserve"> and tables</w:t>
      </w:r>
      <w:r w:rsidR="00E30AA3" w:rsidRPr="007F1A46">
        <w:rPr>
          <w:sz w:val="28"/>
          <w:szCs w:val="28"/>
        </w:rPr>
        <w:t xml:space="preserve"> </w:t>
      </w:r>
      <w:r w:rsidR="007F3FB1" w:rsidRPr="007F1A46">
        <w:rPr>
          <w:sz w:val="28"/>
          <w:szCs w:val="28"/>
        </w:rPr>
        <w:t>which by</w:t>
      </w:r>
      <w:r w:rsidR="00E30AA3" w:rsidRPr="007F1A46">
        <w:rPr>
          <w:sz w:val="28"/>
          <w:szCs w:val="28"/>
        </w:rPr>
        <w:t xml:space="preserve"> </w:t>
      </w:r>
      <w:r w:rsidR="00BF651A" w:rsidRPr="007F1A46">
        <w:rPr>
          <w:sz w:val="28"/>
          <w:szCs w:val="28"/>
        </w:rPr>
        <w:t xml:space="preserve">nature </w:t>
      </w:r>
      <w:r w:rsidR="00E30AA3" w:rsidRPr="007F1A46">
        <w:rPr>
          <w:sz w:val="28"/>
          <w:szCs w:val="28"/>
        </w:rPr>
        <w:t xml:space="preserve">were </w:t>
      </w:r>
      <w:r w:rsidR="00BF651A" w:rsidRPr="007F1A46">
        <w:rPr>
          <w:sz w:val="28"/>
          <w:szCs w:val="28"/>
        </w:rPr>
        <w:t xml:space="preserve">movable tenant fixtures </w:t>
      </w:r>
      <w:r w:rsidR="007F3FB1" w:rsidRPr="007F1A46">
        <w:rPr>
          <w:sz w:val="28"/>
          <w:szCs w:val="28"/>
        </w:rPr>
        <w:t>which could be removed</w:t>
      </w:r>
      <w:r w:rsidR="00BF651A" w:rsidRPr="007F1A46">
        <w:rPr>
          <w:sz w:val="28"/>
          <w:szCs w:val="28"/>
        </w:rPr>
        <w:t xml:space="preserve"> provided any damage to the </w:t>
      </w:r>
      <w:r w:rsidR="007F3FB1" w:rsidRPr="007F1A46">
        <w:rPr>
          <w:sz w:val="28"/>
          <w:szCs w:val="28"/>
        </w:rPr>
        <w:t xml:space="preserve">suit </w:t>
      </w:r>
      <w:r w:rsidR="00BF651A" w:rsidRPr="007F1A46">
        <w:rPr>
          <w:sz w:val="28"/>
          <w:szCs w:val="28"/>
        </w:rPr>
        <w:t>building</w:t>
      </w:r>
      <w:r w:rsidR="00E30AA3" w:rsidRPr="007F1A46">
        <w:rPr>
          <w:sz w:val="28"/>
          <w:szCs w:val="28"/>
        </w:rPr>
        <w:t xml:space="preserve"> was made good thereof</w:t>
      </w:r>
      <w:r w:rsidR="003D0B91" w:rsidRPr="007F1A46">
        <w:rPr>
          <w:sz w:val="28"/>
          <w:szCs w:val="28"/>
        </w:rPr>
        <w:t xml:space="preserve">. </w:t>
      </w:r>
      <w:r w:rsidR="007F3FB1" w:rsidRPr="007F1A46">
        <w:rPr>
          <w:sz w:val="28"/>
          <w:szCs w:val="28"/>
        </w:rPr>
        <w:t xml:space="preserve"> T</w:t>
      </w:r>
      <w:r w:rsidR="003D0B91" w:rsidRPr="007F1A46">
        <w:rPr>
          <w:sz w:val="28"/>
          <w:szCs w:val="28"/>
        </w:rPr>
        <w:t>hat being the case</w:t>
      </w:r>
      <w:r w:rsidR="00BF651A" w:rsidRPr="007F1A46">
        <w:rPr>
          <w:sz w:val="28"/>
          <w:szCs w:val="28"/>
        </w:rPr>
        <w:t xml:space="preserve"> </w:t>
      </w:r>
      <w:r w:rsidR="007F3FB1" w:rsidRPr="007F1A46">
        <w:rPr>
          <w:sz w:val="28"/>
          <w:szCs w:val="28"/>
        </w:rPr>
        <w:t xml:space="preserve">,  I find that </w:t>
      </w:r>
      <w:r w:rsidR="00BF651A" w:rsidRPr="007F1A46">
        <w:rPr>
          <w:sz w:val="28"/>
          <w:szCs w:val="28"/>
        </w:rPr>
        <w:t xml:space="preserve">the </w:t>
      </w:r>
      <w:r w:rsidR="007F3FB1" w:rsidRPr="007F1A46">
        <w:rPr>
          <w:sz w:val="28"/>
          <w:szCs w:val="28"/>
        </w:rPr>
        <w:t xml:space="preserve">Defendant </w:t>
      </w:r>
      <w:r w:rsidR="00BF651A" w:rsidRPr="007F1A46">
        <w:rPr>
          <w:sz w:val="28"/>
          <w:szCs w:val="28"/>
        </w:rPr>
        <w:t xml:space="preserve">(tenant) </w:t>
      </w:r>
      <w:r w:rsidR="00D754FB" w:rsidRPr="007F1A46">
        <w:rPr>
          <w:sz w:val="28"/>
          <w:szCs w:val="28"/>
        </w:rPr>
        <w:t>was</w:t>
      </w:r>
      <w:r w:rsidR="00BF651A" w:rsidRPr="007F1A46">
        <w:rPr>
          <w:sz w:val="28"/>
          <w:szCs w:val="28"/>
        </w:rPr>
        <w:t xml:space="preserve"> entitled to sell these properties to U</w:t>
      </w:r>
      <w:r w:rsidR="007F3FB1" w:rsidRPr="007F1A46">
        <w:rPr>
          <w:sz w:val="28"/>
          <w:szCs w:val="28"/>
        </w:rPr>
        <w:t xml:space="preserve">nited </w:t>
      </w:r>
      <w:r w:rsidR="00BF651A" w:rsidRPr="007F1A46">
        <w:rPr>
          <w:sz w:val="28"/>
          <w:szCs w:val="28"/>
        </w:rPr>
        <w:t>B</w:t>
      </w:r>
      <w:r w:rsidR="007F3FB1" w:rsidRPr="007F1A46">
        <w:rPr>
          <w:sz w:val="28"/>
          <w:szCs w:val="28"/>
        </w:rPr>
        <w:t xml:space="preserve">ank of </w:t>
      </w:r>
      <w:r w:rsidR="00BF651A" w:rsidRPr="007F1A46">
        <w:rPr>
          <w:sz w:val="28"/>
          <w:szCs w:val="28"/>
        </w:rPr>
        <w:t>A</w:t>
      </w:r>
      <w:r w:rsidR="007F3FB1" w:rsidRPr="007F1A46">
        <w:rPr>
          <w:sz w:val="28"/>
          <w:szCs w:val="28"/>
        </w:rPr>
        <w:t>frica</w:t>
      </w:r>
      <w:r w:rsidR="00BF651A" w:rsidRPr="007F1A46">
        <w:rPr>
          <w:sz w:val="28"/>
          <w:szCs w:val="28"/>
        </w:rPr>
        <w:t xml:space="preserve"> who took over the premises </w:t>
      </w:r>
      <w:r w:rsidR="00D754FB" w:rsidRPr="007F1A46">
        <w:rPr>
          <w:sz w:val="28"/>
          <w:szCs w:val="28"/>
        </w:rPr>
        <w:t xml:space="preserve">subsequent to </w:t>
      </w:r>
      <w:r w:rsidR="007F3FB1" w:rsidRPr="007F1A46">
        <w:rPr>
          <w:sz w:val="28"/>
          <w:szCs w:val="28"/>
        </w:rPr>
        <w:t xml:space="preserve">its </w:t>
      </w:r>
      <w:r w:rsidR="00D754FB" w:rsidRPr="007F1A46">
        <w:rPr>
          <w:sz w:val="28"/>
          <w:szCs w:val="28"/>
        </w:rPr>
        <w:t xml:space="preserve">the   departure </w:t>
      </w:r>
      <w:r w:rsidR="007F3FB1" w:rsidRPr="007F1A46">
        <w:rPr>
          <w:sz w:val="28"/>
          <w:szCs w:val="28"/>
        </w:rPr>
        <w:t xml:space="preserve">from the premises for the </w:t>
      </w:r>
      <w:r w:rsidR="00D754FB" w:rsidRPr="007F1A46">
        <w:rPr>
          <w:sz w:val="28"/>
          <w:szCs w:val="28"/>
        </w:rPr>
        <w:t>tenancy</w:t>
      </w:r>
      <w:r w:rsidR="00BF651A" w:rsidRPr="007F1A46">
        <w:rPr>
          <w:sz w:val="28"/>
          <w:szCs w:val="28"/>
        </w:rPr>
        <w:t xml:space="preserve"> agreement </w:t>
      </w:r>
      <w:r w:rsidR="007F3FB1" w:rsidRPr="007F1A46">
        <w:rPr>
          <w:sz w:val="28"/>
          <w:szCs w:val="28"/>
        </w:rPr>
        <w:t xml:space="preserve">could not be </w:t>
      </w:r>
      <w:r w:rsidR="00BF651A" w:rsidRPr="007F1A46">
        <w:rPr>
          <w:sz w:val="28"/>
          <w:szCs w:val="28"/>
        </w:rPr>
        <w:t>modified th</w:t>
      </w:r>
      <w:r w:rsidR="00D754FB" w:rsidRPr="007F1A46">
        <w:rPr>
          <w:sz w:val="28"/>
          <w:szCs w:val="28"/>
        </w:rPr>
        <w:t>r</w:t>
      </w:r>
      <w:r w:rsidR="00BF651A" w:rsidRPr="007F1A46">
        <w:rPr>
          <w:sz w:val="28"/>
          <w:szCs w:val="28"/>
        </w:rPr>
        <w:t>ough exchange of letter</w:t>
      </w:r>
      <w:r w:rsidR="007F3FB1" w:rsidRPr="007F1A46">
        <w:rPr>
          <w:sz w:val="28"/>
          <w:szCs w:val="28"/>
        </w:rPr>
        <w:t>s</w:t>
      </w:r>
      <w:r w:rsidR="00BF651A" w:rsidRPr="007F1A46">
        <w:rPr>
          <w:sz w:val="28"/>
          <w:szCs w:val="28"/>
        </w:rPr>
        <w:t xml:space="preserve"> between the </w:t>
      </w:r>
      <w:r w:rsidR="007F3FB1" w:rsidRPr="007F1A46">
        <w:rPr>
          <w:sz w:val="28"/>
          <w:szCs w:val="28"/>
        </w:rPr>
        <w:t xml:space="preserve">Plaintiff </w:t>
      </w:r>
      <w:r w:rsidR="00BF651A" w:rsidRPr="007F1A46">
        <w:rPr>
          <w:sz w:val="28"/>
          <w:szCs w:val="28"/>
        </w:rPr>
        <w:t xml:space="preserve">and the </w:t>
      </w:r>
      <w:r w:rsidR="009378D1" w:rsidRPr="007F1A46">
        <w:rPr>
          <w:sz w:val="28"/>
          <w:szCs w:val="28"/>
        </w:rPr>
        <w:t xml:space="preserve">Defendant </w:t>
      </w:r>
      <w:r w:rsidR="00D754FB" w:rsidRPr="007F1A46">
        <w:rPr>
          <w:sz w:val="28"/>
          <w:szCs w:val="28"/>
        </w:rPr>
        <w:t xml:space="preserve">for in the first place </w:t>
      </w:r>
      <w:r w:rsidR="00BF651A" w:rsidRPr="007F1A46">
        <w:rPr>
          <w:sz w:val="28"/>
          <w:szCs w:val="28"/>
        </w:rPr>
        <w:t xml:space="preserve">there was no consideration at all </w:t>
      </w:r>
      <w:r w:rsidR="009378D1" w:rsidRPr="007F1A46">
        <w:rPr>
          <w:sz w:val="28"/>
          <w:szCs w:val="28"/>
        </w:rPr>
        <w:t xml:space="preserve">was </w:t>
      </w:r>
      <w:r w:rsidR="00BF651A" w:rsidRPr="007F1A46">
        <w:rPr>
          <w:sz w:val="28"/>
          <w:szCs w:val="28"/>
        </w:rPr>
        <w:t xml:space="preserve">given for the alleged </w:t>
      </w:r>
      <w:r w:rsidR="009378D1" w:rsidRPr="007F1A46">
        <w:rPr>
          <w:sz w:val="28"/>
          <w:szCs w:val="28"/>
        </w:rPr>
        <w:t xml:space="preserve">changes in the original tenancy </w:t>
      </w:r>
      <w:r w:rsidR="00BF651A" w:rsidRPr="007F1A46">
        <w:rPr>
          <w:sz w:val="28"/>
          <w:szCs w:val="28"/>
        </w:rPr>
        <w:t xml:space="preserve">agreement to have the plaintiff keep the </w:t>
      </w:r>
      <w:r w:rsidR="009378D1" w:rsidRPr="007F1A46">
        <w:rPr>
          <w:sz w:val="28"/>
          <w:szCs w:val="28"/>
        </w:rPr>
        <w:t xml:space="preserve">alleged tenant’s chattels </w:t>
      </w:r>
      <w:r w:rsidR="00BF651A" w:rsidRPr="007F1A46">
        <w:rPr>
          <w:sz w:val="28"/>
          <w:szCs w:val="28"/>
        </w:rPr>
        <w:t xml:space="preserve"> </w:t>
      </w:r>
      <w:r w:rsidR="009378D1" w:rsidRPr="007F1A46">
        <w:rPr>
          <w:sz w:val="28"/>
          <w:szCs w:val="28"/>
        </w:rPr>
        <w:t xml:space="preserve">for if that were so then </w:t>
      </w:r>
      <w:r w:rsidR="00BF651A" w:rsidRPr="007F1A46">
        <w:rPr>
          <w:sz w:val="28"/>
          <w:szCs w:val="28"/>
        </w:rPr>
        <w:t xml:space="preserve"> </w:t>
      </w:r>
      <w:r w:rsidR="009378D1" w:rsidRPr="007F1A46">
        <w:rPr>
          <w:sz w:val="28"/>
          <w:szCs w:val="28"/>
        </w:rPr>
        <w:t xml:space="preserve">those exchanges would only fall in the category of </w:t>
      </w:r>
      <w:r w:rsidR="00BF651A" w:rsidRPr="007F1A46">
        <w:rPr>
          <w:sz w:val="28"/>
          <w:szCs w:val="28"/>
        </w:rPr>
        <w:t xml:space="preserve">a mere gratuitous promise </w:t>
      </w:r>
      <w:r w:rsidR="009378D1" w:rsidRPr="007F1A46">
        <w:rPr>
          <w:sz w:val="28"/>
          <w:szCs w:val="28"/>
        </w:rPr>
        <w:t xml:space="preserve">which is </w:t>
      </w:r>
      <w:r w:rsidR="00BF651A" w:rsidRPr="007F1A46">
        <w:rPr>
          <w:sz w:val="28"/>
          <w:szCs w:val="28"/>
        </w:rPr>
        <w:t>not enforceable as a contract</w:t>
      </w:r>
      <w:r w:rsidR="00D754FB" w:rsidRPr="007F1A46">
        <w:rPr>
          <w:sz w:val="28"/>
          <w:szCs w:val="28"/>
        </w:rPr>
        <w:t xml:space="preserve"> since </w:t>
      </w:r>
      <w:r w:rsidR="00BF651A" w:rsidRPr="007F1A46">
        <w:rPr>
          <w:sz w:val="28"/>
          <w:szCs w:val="28"/>
        </w:rPr>
        <w:t xml:space="preserve"> </w:t>
      </w:r>
      <w:r w:rsidR="009378D1" w:rsidRPr="007F1A46">
        <w:rPr>
          <w:sz w:val="28"/>
          <w:szCs w:val="28"/>
        </w:rPr>
        <w:t>neither did</w:t>
      </w:r>
      <w:r w:rsidR="00BF651A" w:rsidRPr="007F1A46">
        <w:rPr>
          <w:sz w:val="28"/>
          <w:szCs w:val="28"/>
        </w:rPr>
        <w:t xml:space="preserve"> the </w:t>
      </w:r>
      <w:r w:rsidR="009378D1" w:rsidRPr="007F1A46">
        <w:rPr>
          <w:sz w:val="28"/>
          <w:szCs w:val="28"/>
        </w:rPr>
        <w:t>Plaintiff pay</w:t>
      </w:r>
      <w:r w:rsidR="00D754FB" w:rsidRPr="007F1A46">
        <w:rPr>
          <w:sz w:val="28"/>
          <w:szCs w:val="28"/>
        </w:rPr>
        <w:t xml:space="preserve"> the </w:t>
      </w:r>
      <w:r w:rsidR="009378D1" w:rsidRPr="007F1A46">
        <w:rPr>
          <w:sz w:val="28"/>
          <w:szCs w:val="28"/>
        </w:rPr>
        <w:t xml:space="preserve">Defendant </w:t>
      </w:r>
      <w:r w:rsidR="00D754FB" w:rsidRPr="007F1A46">
        <w:rPr>
          <w:sz w:val="28"/>
          <w:szCs w:val="28"/>
        </w:rPr>
        <w:t>for tho</w:t>
      </w:r>
      <w:r w:rsidR="00BF651A" w:rsidRPr="007F1A46">
        <w:rPr>
          <w:sz w:val="28"/>
          <w:szCs w:val="28"/>
        </w:rPr>
        <w:t>se items</w:t>
      </w:r>
      <w:r w:rsidR="009378D1" w:rsidRPr="007F1A46">
        <w:rPr>
          <w:sz w:val="28"/>
          <w:szCs w:val="28"/>
        </w:rPr>
        <w:t xml:space="preserve"> n</w:t>
      </w:r>
      <w:r w:rsidR="00BF651A" w:rsidRPr="007F1A46">
        <w:rPr>
          <w:sz w:val="28"/>
          <w:szCs w:val="28"/>
        </w:rPr>
        <w:t xml:space="preserve">or </w:t>
      </w:r>
      <w:r w:rsidR="00D754FB" w:rsidRPr="007F1A46">
        <w:rPr>
          <w:sz w:val="28"/>
          <w:szCs w:val="28"/>
        </w:rPr>
        <w:t xml:space="preserve">and </w:t>
      </w:r>
      <w:r w:rsidR="00D920AE" w:rsidRPr="007F1A46">
        <w:rPr>
          <w:sz w:val="28"/>
          <w:szCs w:val="28"/>
        </w:rPr>
        <w:t xml:space="preserve">the Defendant precluding itself from taking its properties for it clearly acted within the terms of the tenancy agreement and never at any one time failed to comply with the tenancy agreement terms with the holding in the case of  </w:t>
      </w:r>
      <w:r w:rsidR="00BF651A" w:rsidRPr="007F1A46">
        <w:rPr>
          <w:b/>
          <w:sz w:val="28"/>
          <w:szCs w:val="28"/>
        </w:rPr>
        <w:t>Kenya Breweries Ltd v Kiambu Genera</w:t>
      </w:r>
      <w:r w:rsidR="00A121F3" w:rsidRPr="007F1A46">
        <w:rPr>
          <w:b/>
          <w:sz w:val="28"/>
          <w:szCs w:val="28"/>
        </w:rPr>
        <w:t xml:space="preserve">l </w:t>
      </w:r>
      <w:r w:rsidR="00A121F3" w:rsidRPr="007F1A46">
        <w:rPr>
          <w:b/>
          <w:sz w:val="28"/>
          <w:szCs w:val="28"/>
        </w:rPr>
        <w:lastRenderedPageBreak/>
        <w:t>Transport Agency Ltd [2002]</w:t>
      </w:r>
      <w:r w:rsidR="00BF651A" w:rsidRPr="007F1A46">
        <w:rPr>
          <w:b/>
          <w:sz w:val="28"/>
          <w:szCs w:val="28"/>
        </w:rPr>
        <w:t xml:space="preserve"> 2 EA 398</w:t>
      </w:r>
      <w:r w:rsidR="00D754FB" w:rsidRPr="007F1A46">
        <w:rPr>
          <w:sz w:val="28"/>
          <w:szCs w:val="28"/>
        </w:rPr>
        <w:t xml:space="preserve"> which </w:t>
      </w:r>
      <w:r w:rsidR="00BF651A" w:rsidRPr="007F1A46">
        <w:rPr>
          <w:sz w:val="28"/>
          <w:szCs w:val="28"/>
        </w:rPr>
        <w:t>deals with the question of new consideration being required in order to give an alle</w:t>
      </w:r>
      <w:r w:rsidR="00D754FB" w:rsidRPr="007F1A46">
        <w:rPr>
          <w:sz w:val="28"/>
          <w:szCs w:val="28"/>
        </w:rPr>
        <w:t xml:space="preserve">ged variation of an agreement to have a contractual effect at law coming into mind for at page 403 of that case </w:t>
      </w:r>
      <w:r w:rsidR="00BF651A" w:rsidRPr="007F1A46">
        <w:rPr>
          <w:sz w:val="28"/>
          <w:szCs w:val="28"/>
        </w:rPr>
        <w:t>, Gicheru JA state</w:t>
      </w:r>
      <w:r w:rsidR="00D920AE" w:rsidRPr="007F1A46">
        <w:rPr>
          <w:sz w:val="28"/>
          <w:szCs w:val="28"/>
        </w:rPr>
        <w:t xml:space="preserve">s </w:t>
      </w:r>
      <w:r w:rsidR="00BF651A" w:rsidRPr="007F1A46">
        <w:rPr>
          <w:sz w:val="28"/>
          <w:szCs w:val="28"/>
        </w:rPr>
        <w:t>th</w:t>
      </w:r>
      <w:r w:rsidR="00D920AE" w:rsidRPr="007F1A46">
        <w:rPr>
          <w:sz w:val="28"/>
          <w:szCs w:val="28"/>
        </w:rPr>
        <w:t>at</w:t>
      </w:r>
      <w:r w:rsidR="00BF651A" w:rsidRPr="007F1A46">
        <w:rPr>
          <w:sz w:val="28"/>
          <w:szCs w:val="28"/>
        </w:rPr>
        <w:t>;</w:t>
      </w:r>
    </w:p>
    <w:p w:rsidR="00BF651A" w:rsidRPr="007F1A46" w:rsidRDefault="00BF651A" w:rsidP="00D754FB">
      <w:pPr>
        <w:spacing w:line="480" w:lineRule="auto"/>
        <w:ind w:left="720"/>
        <w:jc w:val="both"/>
        <w:rPr>
          <w:b/>
          <w:sz w:val="28"/>
          <w:szCs w:val="28"/>
        </w:rPr>
      </w:pPr>
      <w:r w:rsidRPr="007F1A46">
        <w:rPr>
          <w:b/>
          <w:sz w:val="28"/>
          <w:szCs w:val="28"/>
        </w:rPr>
        <w:t>“A variation of an existing contract involves an alteration as a matter of contract of the contractual relations between the parties. Hence, the agreement for variation must itself possess the characteristics of a valid contract…indeed, the agreement for variation must further</w:t>
      </w:r>
      <w:r w:rsidR="00D754FB" w:rsidRPr="007F1A46">
        <w:rPr>
          <w:b/>
          <w:sz w:val="28"/>
          <w:szCs w:val="28"/>
        </w:rPr>
        <w:t xml:space="preserve"> be supported by consideration…</w:t>
      </w:r>
      <w:r w:rsidRPr="007F1A46">
        <w:rPr>
          <w:b/>
          <w:sz w:val="28"/>
          <w:szCs w:val="28"/>
        </w:rPr>
        <w:t>if the agreement is mere nudum pactum (a naked pact) it would give no cause of action for breach particularly if its effect was to give a voluntary indulgence to the other party to the agreement- see voluntary indulgence to the other party to the agreement- see the case of Van</w:t>
      </w:r>
      <w:r w:rsidR="00D754FB" w:rsidRPr="007F1A46">
        <w:rPr>
          <w:b/>
          <w:sz w:val="28"/>
          <w:szCs w:val="28"/>
        </w:rPr>
        <w:t xml:space="preserve"> B</w:t>
      </w:r>
      <w:r w:rsidRPr="007F1A46">
        <w:rPr>
          <w:b/>
          <w:sz w:val="28"/>
          <w:szCs w:val="28"/>
        </w:rPr>
        <w:t>ergen v St Edmunds Ltd 91933) 2 KB 223.</w:t>
      </w:r>
    </w:p>
    <w:p w:rsidR="00D13558" w:rsidRPr="007F1A46" w:rsidRDefault="00D754FB" w:rsidP="00AF5FE0">
      <w:pPr>
        <w:spacing w:line="480" w:lineRule="auto"/>
        <w:jc w:val="both"/>
        <w:rPr>
          <w:sz w:val="28"/>
          <w:szCs w:val="28"/>
        </w:rPr>
      </w:pPr>
      <w:r w:rsidRPr="007F1A46">
        <w:rPr>
          <w:sz w:val="28"/>
          <w:szCs w:val="28"/>
        </w:rPr>
        <w:t xml:space="preserve">Thus </w:t>
      </w:r>
      <w:r w:rsidR="00D920AE" w:rsidRPr="007F1A46">
        <w:rPr>
          <w:sz w:val="28"/>
          <w:szCs w:val="28"/>
        </w:rPr>
        <w:t xml:space="preserve">in my view, </w:t>
      </w:r>
      <w:r w:rsidR="00BF651A" w:rsidRPr="007F1A46">
        <w:rPr>
          <w:sz w:val="28"/>
          <w:szCs w:val="28"/>
        </w:rPr>
        <w:t xml:space="preserve">the </w:t>
      </w:r>
      <w:r w:rsidR="0073660C" w:rsidRPr="007F1A46">
        <w:rPr>
          <w:sz w:val="28"/>
          <w:szCs w:val="28"/>
        </w:rPr>
        <w:t xml:space="preserve">stated </w:t>
      </w:r>
      <w:r w:rsidR="00BF651A" w:rsidRPr="007F1A46">
        <w:rPr>
          <w:sz w:val="28"/>
          <w:szCs w:val="28"/>
        </w:rPr>
        <w:t xml:space="preserve">variation </w:t>
      </w:r>
      <w:r w:rsidR="0073660C" w:rsidRPr="007F1A46">
        <w:rPr>
          <w:sz w:val="28"/>
          <w:szCs w:val="28"/>
        </w:rPr>
        <w:t xml:space="preserve">could not </w:t>
      </w:r>
      <w:r w:rsidR="00D920AE" w:rsidRPr="007F1A46">
        <w:rPr>
          <w:sz w:val="28"/>
          <w:szCs w:val="28"/>
        </w:rPr>
        <w:t xml:space="preserve">have arisen in the first place for it was merely communications between officers of the parties before this court but were never reduced into </w:t>
      </w:r>
      <w:r w:rsidR="00D13558" w:rsidRPr="007F1A46">
        <w:rPr>
          <w:sz w:val="28"/>
          <w:szCs w:val="28"/>
        </w:rPr>
        <w:t xml:space="preserve">contractual obligations which fundamentally altered the clear </w:t>
      </w:r>
      <w:proofErr w:type="spellStart"/>
      <w:r w:rsidR="00D13558" w:rsidRPr="007F1A46">
        <w:rPr>
          <w:sz w:val="28"/>
          <w:szCs w:val="28"/>
        </w:rPr>
        <w:t>lprovisions</w:t>
      </w:r>
      <w:proofErr w:type="spellEnd"/>
      <w:r w:rsidR="00D13558" w:rsidRPr="007F1A46">
        <w:rPr>
          <w:sz w:val="28"/>
          <w:szCs w:val="28"/>
        </w:rPr>
        <w:t xml:space="preserve"> in the tenancy agreement as the tenancy agreement itself provided the mechanism upon which it could be altered which was never the case in the instant matter.</w:t>
      </w:r>
    </w:p>
    <w:p w:rsidR="000E04F6" w:rsidRPr="007F1A46" w:rsidRDefault="00322F12" w:rsidP="00B44415">
      <w:pPr>
        <w:spacing w:line="480" w:lineRule="auto"/>
        <w:jc w:val="both"/>
        <w:rPr>
          <w:sz w:val="28"/>
          <w:szCs w:val="28"/>
        </w:rPr>
      </w:pPr>
      <w:r w:rsidRPr="007F1A46">
        <w:rPr>
          <w:sz w:val="28"/>
          <w:szCs w:val="28"/>
        </w:rPr>
        <w:lastRenderedPageBreak/>
        <w:t>In the</w:t>
      </w:r>
      <w:r w:rsidR="00D13558" w:rsidRPr="007F1A46">
        <w:rPr>
          <w:sz w:val="28"/>
          <w:szCs w:val="28"/>
        </w:rPr>
        <w:t xml:space="preserve"> instant matter the provisions of the tenancy agreement is </w:t>
      </w:r>
      <w:r w:rsidRPr="007F1A46">
        <w:rPr>
          <w:sz w:val="28"/>
          <w:szCs w:val="28"/>
        </w:rPr>
        <w:t>provides</w:t>
      </w:r>
      <w:r w:rsidR="00D13558" w:rsidRPr="007F1A46">
        <w:rPr>
          <w:sz w:val="28"/>
          <w:szCs w:val="28"/>
        </w:rPr>
        <w:t xml:space="preserve"> that </w:t>
      </w:r>
      <w:r w:rsidR="000E04F6" w:rsidRPr="007F1A46">
        <w:rPr>
          <w:sz w:val="28"/>
          <w:szCs w:val="28"/>
        </w:rPr>
        <w:t xml:space="preserve">the </w:t>
      </w:r>
      <w:r w:rsidR="00A90190" w:rsidRPr="007F1A46">
        <w:rPr>
          <w:sz w:val="28"/>
          <w:szCs w:val="28"/>
        </w:rPr>
        <w:t xml:space="preserve">Defendant </w:t>
      </w:r>
      <w:r w:rsidR="000E04F6" w:rsidRPr="007F1A46">
        <w:rPr>
          <w:sz w:val="28"/>
          <w:szCs w:val="28"/>
        </w:rPr>
        <w:t xml:space="preserve">as tenant was at liberty </w:t>
      </w:r>
      <w:r w:rsidR="00B30191" w:rsidRPr="007F1A46">
        <w:rPr>
          <w:sz w:val="28"/>
          <w:szCs w:val="28"/>
        </w:rPr>
        <w:t xml:space="preserve">to </w:t>
      </w:r>
      <w:r w:rsidR="00A90190" w:rsidRPr="007F1A46">
        <w:rPr>
          <w:sz w:val="28"/>
          <w:szCs w:val="28"/>
        </w:rPr>
        <w:t>deal with its properties as it fell for it never negated its rights under the tenancy agreement as the decided cases of Clemmer’s and Vopak above seems to imply . T</w:t>
      </w:r>
      <w:r w:rsidR="000E04F6" w:rsidRPr="007F1A46">
        <w:rPr>
          <w:sz w:val="28"/>
          <w:szCs w:val="28"/>
        </w:rPr>
        <w:t xml:space="preserve">he </w:t>
      </w:r>
      <w:r w:rsidR="00A90190" w:rsidRPr="007F1A46">
        <w:rPr>
          <w:sz w:val="28"/>
          <w:szCs w:val="28"/>
        </w:rPr>
        <w:t xml:space="preserve">Plaintiff therefore cannot rely on the report as its ammunition to vary the clear terms tenancy agreement </w:t>
      </w:r>
      <w:r w:rsidR="0040251F" w:rsidRPr="007F1A46">
        <w:rPr>
          <w:sz w:val="28"/>
          <w:szCs w:val="28"/>
        </w:rPr>
        <w:t>since it had its own very oblig</w:t>
      </w:r>
      <w:r w:rsidR="00A90190" w:rsidRPr="007F1A46">
        <w:rPr>
          <w:sz w:val="28"/>
          <w:szCs w:val="28"/>
        </w:rPr>
        <w:t>ations and rights clearly spelt under the said tenancy agreement which it should have</w:t>
      </w:r>
      <w:r w:rsidR="0040251F" w:rsidRPr="007F1A46">
        <w:rPr>
          <w:sz w:val="28"/>
          <w:szCs w:val="28"/>
        </w:rPr>
        <w:t xml:space="preserve"> acted upon</w:t>
      </w:r>
      <w:r w:rsidR="00A90190" w:rsidRPr="007F1A46">
        <w:rPr>
          <w:sz w:val="28"/>
          <w:szCs w:val="28"/>
        </w:rPr>
        <w:t>.</w:t>
      </w:r>
      <w:r w:rsidR="0040251F" w:rsidRPr="007F1A46">
        <w:rPr>
          <w:sz w:val="28"/>
          <w:szCs w:val="28"/>
        </w:rPr>
        <w:t xml:space="preserve"> Thus my finding on this issue would be that the items listed in the plaintiff’s memo dated 13</w:t>
      </w:r>
      <w:r w:rsidR="0040251F" w:rsidRPr="007F1A46">
        <w:rPr>
          <w:sz w:val="28"/>
          <w:szCs w:val="28"/>
          <w:vertAlign w:val="superscript"/>
        </w:rPr>
        <w:t>th</w:t>
      </w:r>
      <w:r w:rsidR="0040251F" w:rsidRPr="007F1A46">
        <w:rPr>
          <w:sz w:val="28"/>
          <w:szCs w:val="28"/>
        </w:rPr>
        <w:t xml:space="preserve"> March , 2008 belonged to the Defendant and not the Plaintiff thus the </w:t>
      </w:r>
      <w:r w:rsidR="00B44415" w:rsidRPr="007F1A46">
        <w:rPr>
          <w:sz w:val="28"/>
          <w:szCs w:val="28"/>
        </w:rPr>
        <w:t>Plaintiff claims to them would accordingly fail for the Plaintiff has not shown to this court that it had the right’s arising from the provisions of the tenancy agreement which the Defendant had agreed to and upon which both parties acted on as a result of the exclusion of the traditional common law rights which governs the relationship between a landlord and a tenant.</w:t>
      </w:r>
    </w:p>
    <w:p w:rsidR="003F7181" w:rsidRPr="007F1A46" w:rsidRDefault="003F7181" w:rsidP="00B44415">
      <w:pPr>
        <w:spacing w:line="480" w:lineRule="auto"/>
        <w:jc w:val="both"/>
        <w:rPr>
          <w:sz w:val="28"/>
          <w:szCs w:val="28"/>
        </w:rPr>
      </w:pPr>
    </w:p>
    <w:p w:rsidR="006C50E0" w:rsidRPr="007F1A46" w:rsidRDefault="006C50E0" w:rsidP="00C84C37">
      <w:pPr>
        <w:pStyle w:val="ListParagraph"/>
        <w:numPr>
          <w:ilvl w:val="0"/>
          <w:numId w:val="12"/>
        </w:numPr>
        <w:spacing w:line="480" w:lineRule="auto"/>
        <w:jc w:val="both"/>
        <w:rPr>
          <w:b/>
          <w:sz w:val="28"/>
          <w:szCs w:val="28"/>
          <w:u w:val="single"/>
        </w:rPr>
      </w:pPr>
      <w:r w:rsidRPr="007F1A46">
        <w:rPr>
          <w:b/>
          <w:sz w:val="28"/>
          <w:szCs w:val="28"/>
          <w:u w:val="single"/>
        </w:rPr>
        <w:t>REMEDIES</w:t>
      </w:r>
      <w:r w:rsidR="00051F41" w:rsidRPr="007F1A46">
        <w:rPr>
          <w:b/>
          <w:sz w:val="28"/>
          <w:szCs w:val="28"/>
          <w:u w:val="single"/>
        </w:rPr>
        <w:t>:</w:t>
      </w:r>
    </w:p>
    <w:p w:rsidR="00625849" w:rsidRPr="007F1A46" w:rsidRDefault="0073660C" w:rsidP="00AF5FE0">
      <w:pPr>
        <w:spacing w:line="480" w:lineRule="auto"/>
        <w:jc w:val="both"/>
        <w:rPr>
          <w:sz w:val="28"/>
          <w:szCs w:val="28"/>
        </w:rPr>
      </w:pPr>
      <w:r w:rsidRPr="007F1A46">
        <w:rPr>
          <w:sz w:val="28"/>
          <w:szCs w:val="28"/>
        </w:rPr>
        <w:t>T</w:t>
      </w:r>
      <w:r w:rsidR="006C50E0" w:rsidRPr="007F1A46">
        <w:rPr>
          <w:sz w:val="28"/>
          <w:szCs w:val="28"/>
        </w:rPr>
        <w:t xml:space="preserve">he </w:t>
      </w:r>
      <w:r w:rsidR="00B44415" w:rsidRPr="007F1A46">
        <w:rPr>
          <w:sz w:val="28"/>
          <w:szCs w:val="28"/>
        </w:rPr>
        <w:t xml:space="preserve">Plaintiff </w:t>
      </w:r>
      <w:r w:rsidRPr="007F1A46">
        <w:rPr>
          <w:sz w:val="28"/>
          <w:szCs w:val="28"/>
        </w:rPr>
        <w:t>s</w:t>
      </w:r>
      <w:r w:rsidR="00B44415" w:rsidRPr="007F1A46">
        <w:rPr>
          <w:sz w:val="28"/>
          <w:szCs w:val="28"/>
        </w:rPr>
        <w:t>ought</w:t>
      </w:r>
      <w:r w:rsidRPr="007F1A46">
        <w:rPr>
          <w:sz w:val="28"/>
          <w:szCs w:val="28"/>
        </w:rPr>
        <w:t xml:space="preserve"> to </w:t>
      </w:r>
      <w:r w:rsidR="006C50E0" w:rsidRPr="007F1A46">
        <w:rPr>
          <w:sz w:val="28"/>
          <w:szCs w:val="28"/>
        </w:rPr>
        <w:t xml:space="preserve">be awarded the damages </w:t>
      </w:r>
      <w:r w:rsidR="00B44415" w:rsidRPr="007F1A46">
        <w:rPr>
          <w:sz w:val="28"/>
          <w:szCs w:val="28"/>
        </w:rPr>
        <w:t xml:space="preserve">for breach of contract </w:t>
      </w:r>
      <w:r w:rsidRPr="007F1A46">
        <w:rPr>
          <w:sz w:val="28"/>
          <w:szCs w:val="28"/>
        </w:rPr>
        <w:t xml:space="preserve">on the basis that </w:t>
      </w:r>
      <w:r w:rsidR="00B44415" w:rsidRPr="007F1A46">
        <w:rPr>
          <w:sz w:val="28"/>
          <w:szCs w:val="28"/>
        </w:rPr>
        <w:t>it</w:t>
      </w:r>
      <w:r w:rsidRPr="007F1A46">
        <w:rPr>
          <w:sz w:val="28"/>
          <w:szCs w:val="28"/>
        </w:rPr>
        <w:t xml:space="preserve"> should have been left with the </w:t>
      </w:r>
      <w:r w:rsidR="004F4F6A" w:rsidRPr="007F1A46">
        <w:rPr>
          <w:sz w:val="28"/>
          <w:szCs w:val="28"/>
        </w:rPr>
        <w:t xml:space="preserve">Defendant’s </w:t>
      </w:r>
      <w:r w:rsidRPr="007F1A46">
        <w:rPr>
          <w:sz w:val="28"/>
          <w:szCs w:val="28"/>
        </w:rPr>
        <w:t xml:space="preserve">chattels </w:t>
      </w:r>
      <w:r w:rsidR="004F4F6A" w:rsidRPr="007F1A46">
        <w:rPr>
          <w:sz w:val="28"/>
          <w:szCs w:val="28"/>
        </w:rPr>
        <w:t xml:space="preserve">for they had become its property and thus was legally in such position </w:t>
      </w:r>
      <w:r w:rsidRPr="007F1A46">
        <w:rPr>
          <w:sz w:val="28"/>
          <w:szCs w:val="28"/>
        </w:rPr>
        <w:t xml:space="preserve">to dispose them any way it liked </w:t>
      </w:r>
      <w:r w:rsidR="004F4F6A" w:rsidRPr="007F1A46">
        <w:rPr>
          <w:sz w:val="28"/>
          <w:szCs w:val="28"/>
        </w:rPr>
        <w:t>since</w:t>
      </w:r>
      <w:r w:rsidRPr="007F1A46">
        <w:rPr>
          <w:sz w:val="28"/>
          <w:szCs w:val="28"/>
        </w:rPr>
        <w:t xml:space="preserve"> the </w:t>
      </w:r>
      <w:r w:rsidR="004F4F6A" w:rsidRPr="007F1A46">
        <w:rPr>
          <w:sz w:val="28"/>
          <w:szCs w:val="28"/>
        </w:rPr>
        <w:t xml:space="preserve">Defendant </w:t>
      </w:r>
      <w:r w:rsidRPr="007F1A46">
        <w:rPr>
          <w:sz w:val="28"/>
          <w:szCs w:val="28"/>
        </w:rPr>
        <w:t xml:space="preserve">had </w:t>
      </w:r>
      <w:r w:rsidR="004F4F6A" w:rsidRPr="007F1A46">
        <w:rPr>
          <w:sz w:val="28"/>
          <w:szCs w:val="28"/>
        </w:rPr>
        <w:t xml:space="preserve">ceased to claim any </w:t>
      </w:r>
      <w:r w:rsidRPr="007F1A46">
        <w:rPr>
          <w:sz w:val="28"/>
          <w:szCs w:val="28"/>
        </w:rPr>
        <w:t xml:space="preserve">further rights to them and </w:t>
      </w:r>
      <w:r w:rsidR="004F4F6A" w:rsidRPr="007F1A46">
        <w:rPr>
          <w:sz w:val="28"/>
          <w:szCs w:val="28"/>
        </w:rPr>
        <w:t xml:space="preserve">that by </w:t>
      </w:r>
      <w:r w:rsidRPr="007F1A46">
        <w:rPr>
          <w:sz w:val="28"/>
          <w:szCs w:val="28"/>
        </w:rPr>
        <w:t xml:space="preserve">the </w:t>
      </w:r>
      <w:r w:rsidR="004F4F6A" w:rsidRPr="007F1A46">
        <w:rPr>
          <w:sz w:val="28"/>
          <w:szCs w:val="28"/>
        </w:rPr>
        <w:t xml:space="preserve">Defendant </w:t>
      </w:r>
      <w:r w:rsidRPr="007F1A46">
        <w:rPr>
          <w:sz w:val="28"/>
          <w:szCs w:val="28"/>
        </w:rPr>
        <w:t>s</w:t>
      </w:r>
      <w:r w:rsidR="004F4F6A" w:rsidRPr="007F1A46">
        <w:rPr>
          <w:sz w:val="28"/>
          <w:szCs w:val="28"/>
        </w:rPr>
        <w:t xml:space="preserve">elling </w:t>
      </w:r>
      <w:r w:rsidRPr="007F1A46">
        <w:rPr>
          <w:sz w:val="28"/>
          <w:szCs w:val="28"/>
        </w:rPr>
        <w:t>th</w:t>
      </w:r>
      <w:r w:rsidR="004F4F6A" w:rsidRPr="007F1A46">
        <w:rPr>
          <w:sz w:val="28"/>
          <w:szCs w:val="28"/>
        </w:rPr>
        <w:t xml:space="preserve">ose chattels </w:t>
      </w:r>
      <w:r w:rsidRPr="007F1A46">
        <w:rPr>
          <w:sz w:val="28"/>
          <w:szCs w:val="28"/>
        </w:rPr>
        <w:t xml:space="preserve">to another party then </w:t>
      </w:r>
      <w:r w:rsidR="004F4F6A" w:rsidRPr="007F1A46">
        <w:rPr>
          <w:sz w:val="28"/>
          <w:szCs w:val="28"/>
        </w:rPr>
        <w:t xml:space="preserve">it </w:t>
      </w:r>
      <w:r w:rsidRPr="007F1A46">
        <w:rPr>
          <w:sz w:val="28"/>
          <w:szCs w:val="28"/>
        </w:rPr>
        <w:t xml:space="preserve">incurred losses to the value </w:t>
      </w:r>
      <w:r w:rsidRPr="007F1A46">
        <w:rPr>
          <w:sz w:val="28"/>
          <w:szCs w:val="28"/>
        </w:rPr>
        <w:lastRenderedPageBreak/>
        <w:t xml:space="preserve">of those chattels </w:t>
      </w:r>
      <w:r w:rsidR="004F4F6A" w:rsidRPr="007F1A46">
        <w:rPr>
          <w:sz w:val="28"/>
          <w:szCs w:val="28"/>
        </w:rPr>
        <w:t>which if</w:t>
      </w:r>
      <w:r w:rsidRPr="007F1A46">
        <w:rPr>
          <w:sz w:val="28"/>
          <w:szCs w:val="28"/>
        </w:rPr>
        <w:t xml:space="preserve"> had been disposed off at that particular time would minimized</w:t>
      </w:r>
      <w:r w:rsidR="004F4F6A" w:rsidRPr="007F1A46">
        <w:rPr>
          <w:sz w:val="28"/>
          <w:szCs w:val="28"/>
        </w:rPr>
        <w:t xml:space="preserve"> the issue of depreciation and thus the plaintiff would have got real value for money for those chattels.</w:t>
      </w:r>
      <w:r w:rsidR="00470A57" w:rsidRPr="007F1A46">
        <w:rPr>
          <w:sz w:val="28"/>
          <w:szCs w:val="28"/>
        </w:rPr>
        <w:t>.</w:t>
      </w:r>
      <w:r w:rsidR="00A121F3" w:rsidRPr="007F1A46">
        <w:rPr>
          <w:sz w:val="28"/>
          <w:szCs w:val="28"/>
        </w:rPr>
        <w:t xml:space="preserve"> </w:t>
      </w:r>
      <w:r w:rsidR="00470A57" w:rsidRPr="007F1A46">
        <w:rPr>
          <w:sz w:val="28"/>
          <w:szCs w:val="28"/>
        </w:rPr>
        <w:t xml:space="preserve">The </w:t>
      </w:r>
      <w:r w:rsidR="00674326" w:rsidRPr="007F1A46">
        <w:rPr>
          <w:sz w:val="28"/>
          <w:szCs w:val="28"/>
        </w:rPr>
        <w:t xml:space="preserve">Plaintiff </w:t>
      </w:r>
      <w:r w:rsidR="00470A57" w:rsidRPr="007F1A46">
        <w:rPr>
          <w:sz w:val="28"/>
          <w:szCs w:val="28"/>
        </w:rPr>
        <w:t xml:space="preserve">claimed </w:t>
      </w:r>
      <w:r w:rsidR="00674326" w:rsidRPr="007F1A46">
        <w:rPr>
          <w:sz w:val="28"/>
          <w:szCs w:val="28"/>
        </w:rPr>
        <w:t>the</w:t>
      </w:r>
      <w:r w:rsidR="00470A57" w:rsidRPr="007F1A46">
        <w:rPr>
          <w:sz w:val="28"/>
          <w:szCs w:val="28"/>
        </w:rPr>
        <w:t xml:space="preserve"> recovery of legal fees of U</w:t>
      </w:r>
      <w:r w:rsidR="00A748FD" w:rsidRPr="007F1A46">
        <w:rPr>
          <w:sz w:val="28"/>
          <w:szCs w:val="28"/>
        </w:rPr>
        <w:t>g. Shs</w:t>
      </w:r>
      <w:r w:rsidR="00470A57" w:rsidRPr="007F1A46">
        <w:rPr>
          <w:sz w:val="28"/>
          <w:szCs w:val="28"/>
        </w:rPr>
        <w:t xml:space="preserve">. 3,072,000/= which were </w:t>
      </w:r>
      <w:r w:rsidR="00674326" w:rsidRPr="007F1A46">
        <w:rPr>
          <w:sz w:val="28"/>
          <w:szCs w:val="28"/>
        </w:rPr>
        <w:t xml:space="preserve">stated to have been </w:t>
      </w:r>
      <w:r w:rsidR="00470A57" w:rsidRPr="007F1A46">
        <w:rPr>
          <w:sz w:val="28"/>
          <w:szCs w:val="28"/>
        </w:rPr>
        <w:t xml:space="preserve">incurred </w:t>
      </w:r>
      <w:r w:rsidR="00674326" w:rsidRPr="007F1A46">
        <w:rPr>
          <w:sz w:val="28"/>
          <w:szCs w:val="28"/>
        </w:rPr>
        <w:t xml:space="preserve">after </w:t>
      </w:r>
      <w:r w:rsidR="00470A57" w:rsidRPr="007F1A46">
        <w:rPr>
          <w:sz w:val="28"/>
          <w:szCs w:val="28"/>
        </w:rPr>
        <w:t xml:space="preserve">the </w:t>
      </w:r>
      <w:r w:rsidR="00674326" w:rsidRPr="007F1A46">
        <w:rPr>
          <w:sz w:val="28"/>
          <w:szCs w:val="28"/>
        </w:rPr>
        <w:t xml:space="preserve">Defendant </w:t>
      </w:r>
      <w:r w:rsidR="00470A57" w:rsidRPr="007F1A46">
        <w:rPr>
          <w:sz w:val="28"/>
          <w:szCs w:val="28"/>
        </w:rPr>
        <w:t>in breach of the tenancy</w:t>
      </w:r>
      <w:r w:rsidR="00674326" w:rsidRPr="007F1A46">
        <w:rPr>
          <w:sz w:val="28"/>
          <w:szCs w:val="28"/>
        </w:rPr>
        <w:t xml:space="preserve"> agreement </w:t>
      </w:r>
      <w:r w:rsidR="00470A57" w:rsidRPr="007F1A46">
        <w:rPr>
          <w:sz w:val="28"/>
          <w:szCs w:val="28"/>
        </w:rPr>
        <w:t xml:space="preserve"> failed to sett</w:t>
      </w:r>
      <w:r w:rsidRPr="007F1A46">
        <w:rPr>
          <w:sz w:val="28"/>
          <w:szCs w:val="28"/>
        </w:rPr>
        <w:t xml:space="preserve">le utility bills </w:t>
      </w:r>
      <w:r w:rsidR="00674326" w:rsidRPr="007F1A46">
        <w:rPr>
          <w:sz w:val="28"/>
          <w:szCs w:val="28"/>
        </w:rPr>
        <w:t xml:space="preserve">for the demised premises </w:t>
      </w:r>
      <w:r w:rsidR="005E37C1" w:rsidRPr="007F1A46">
        <w:rPr>
          <w:sz w:val="28"/>
          <w:szCs w:val="28"/>
        </w:rPr>
        <w:t xml:space="preserve">which </w:t>
      </w:r>
      <w:r w:rsidR="00674326" w:rsidRPr="007F1A46">
        <w:rPr>
          <w:sz w:val="28"/>
          <w:szCs w:val="28"/>
        </w:rPr>
        <w:t xml:space="preserve">action forced the Plaintiff </w:t>
      </w:r>
      <w:r w:rsidR="005E37C1" w:rsidRPr="007F1A46">
        <w:rPr>
          <w:sz w:val="28"/>
          <w:szCs w:val="28"/>
        </w:rPr>
        <w:t>to instruct</w:t>
      </w:r>
      <w:r w:rsidRPr="007F1A46">
        <w:rPr>
          <w:sz w:val="28"/>
          <w:szCs w:val="28"/>
        </w:rPr>
        <w:t xml:space="preserve"> legal counsel </w:t>
      </w:r>
      <w:r w:rsidR="00470A57" w:rsidRPr="007F1A46">
        <w:rPr>
          <w:sz w:val="28"/>
          <w:szCs w:val="28"/>
        </w:rPr>
        <w:t>to pursue settlement of the same</w:t>
      </w:r>
      <w:r w:rsidR="00674326" w:rsidRPr="007F1A46">
        <w:rPr>
          <w:sz w:val="28"/>
          <w:szCs w:val="28"/>
        </w:rPr>
        <w:t xml:space="preserve">. To prove its case the plaintiff relied on the case </w:t>
      </w:r>
      <w:r w:rsidR="00BF651A" w:rsidRPr="007F1A46">
        <w:rPr>
          <w:b/>
          <w:sz w:val="28"/>
          <w:szCs w:val="28"/>
        </w:rPr>
        <w:t>Jivanji v Sanjo Electrical Co. Ltd [2003</w:t>
      </w:r>
      <w:proofErr w:type="gramStart"/>
      <w:r w:rsidR="00BF651A" w:rsidRPr="007F1A46">
        <w:rPr>
          <w:b/>
          <w:sz w:val="28"/>
          <w:szCs w:val="28"/>
        </w:rPr>
        <w:t>]E</w:t>
      </w:r>
      <w:proofErr w:type="gramEnd"/>
      <w:r w:rsidR="00BF651A" w:rsidRPr="007F1A46">
        <w:rPr>
          <w:b/>
          <w:sz w:val="28"/>
          <w:szCs w:val="28"/>
        </w:rPr>
        <w:t xml:space="preserve"> A 98 </w:t>
      </w:r>
      <w:r w:rsidR="009049D2" w:rsidRPr="007F1A46">
        <w:rPr>
          <w:sz w:val="28"/>
          <w:szCs w:val="28"/>
        </w:rPr>
        <w:t xml:space="preserve">where the Court of Appeal of Kenya considered </w:t>
      </w:r>
      <w:r w:rsidR="00674326" w:rsidRPr="007F1A46">
        <w:rPr>
          <w:sz w:val="28"/>
          <w:szCs w:val="28"/>
        </w:rPr>
        <w:t xml:space="preserve">the issue of </w:t>
      </w:r>
      <w:r w:rsidR="005E37C1" w:rsidRPr="007F1A46">
        <w:rPr>
          <w:sz w:val="28"/>
          <w:szCs w:val="28"/>
        </w:rPr>
        <w:t>s</w:t>
      </w:r>
      <w:r w:rsidR="009049D2" w:rsidRPr="007F1A46">
        <w:rPr>
          <w:sz w:val="28"/>
          <w:szCs w:val="28"/>
        </w:rPr>
        <w:t>pecial damages</w:t>
      </w:r>
      <w:r w:rsidR="00674326" w:rsidRPr="007F1A46">
        <w:rPr>
          <w:sz w:val="28"/>
          <w:szCs w:val="28"/>
        </w:rPr>
        <w:t xml:space="preserve">. In that case it was held that where there is a </w:t>
      </w:r>
      <w:r w:rsidR="00625849" w:rsidRPr="007F1A46">
        <w:rPr>
          <w:sz w:val="28"/>
          <w:szCs w:val="28"/>
        </w:rPr>
        <w:t>claim</w:t>
      </w:r>
      <w:r w:rsidR="00674326" w:rsidRPr="007F1A46">
        <w:rPr>
          <w:sz w:val="28"/>
          <w:szCs w:val="28"/>
        </w:rPr>
        <w:t xml:space="preserve"> for special damages </w:t>
      </w:r>
      <w:r w:rsidR="00625849" w:rsidRPr="007F1A46">
        <w:rPr>
          <w:sz w:val="28"/>
          <w:szCs w:val="28"/>
        </w:rPr>
        <w:t>such claim must be must</w:t>
      </w:r>
      <w:r w:rsidR="009049D2" w:rsidRPr="007F1A46">
        <w:rPr>
          <w:sz w:val="28"/>
          <w:szCs w:val="28"/>
        </w:rPr>
        <w:t xml:space="preserve"> be pleaded and strictly</w:t>
      </w:r>
      <w:r w:rsidR="005E37C1" w:rsidRPr="007F1A46">
        <w:rPr>
          <w:sz w:val="28"/>
          <w:szCs w:val="28"/>
        </w:rPr>
        <w:t xml:space="preserve"> proved</w:t>
      </w:r>
      <w:r w:rsidR="00B35BAA" w:rsidRPr="007F1A46">
        <w:rPr>
          <w:sz w:val="28"/>
          <w:szCs w:val="28"/>
        </w:rPr>
        <w:t xml:space="preserve"> </w:t>
      </w:r>
      <w:r w:rsidR="005E37C1" w:rsidRPr="007F1A46">
        <w:rPr>
          <w:sz w:val="28"/>
          <w:szCs w:val="28"/>
        </w:rPr>
        <w:t xml:space="preserve">taking into </w:t>
      </w:r>
      <w:r w:rsidR="00625849" w:rsidRPr="007F1A46">
        <w:rPr>
          <w:sz w:val="28"/>
          <w:szCs w:val="28"/>
        </w:rPr>
        <w:t>account the</w:t>
      </w:r>
      <w:r w:rsidR="00B35BAA" w:rsidRPr="007F1A46">
        <w:rPr>
          <w:sz w:val="28"/>
          <w:szCs w:val="28"/>
        </w:rPr>
        <w:t xml:space="preserve"> circumstances and </w:t>
      </w:r>
      <w:r w:rsidR="005E37C1" w:rsidRPr="007F1A46">
        <w:rPr>
          <w:sz w:val="28"/>
          <w:szCs w:val="28"/>
        </w:rPr>
        <w:t>nature of the act complained of</w:t>
      </w:r>
      <w:r w:rsidR="00625849" w:rsidRPr="007F1A46">
        <w:rPr>
          <w:sz w:val="28"/>
          <w:szCs w:val="28"/>
        </w:rPr>
        <w:t>.</w:t>
      </w:r>
    </w:p>
    <w:p w:rsidR="005E37C1" w:rsidRPr="007F1A46" w:rsidRDefault="00625849" w:rsidP="00AF5FE0">
      <w:pPr>
        <w:spacing w:line="480" w:lineRule="auto"/>
        <w:jc w:val="both"/>
        <w:rPr>
          <w:sz w:val="28"/>
          <w:szCs w:val="28"/>
        </w:rPr>
      </w:pPr>
      <w:r w:rsidRPr="007F1A46">
        <w:rPr>
          <w:sz w:val="28"/>
          <w:szCs w:val="28"/>
        </w:rPr>
        <w:t xml:space="preserve">In the instant case, </w:t>
      </w:r>
      <w:r w:rsidR="005E37C1" w:rsidRPr="007F1A46">
        <w:rPr>
          <w:sz w:val="28"/>
          <w:szCs w:val="28"/>
        </w:rPr>
        <w:t>P</w:t>
      </w:r>
      <w:r w:rsidR="00B35BAA" w:rsidRPr="007F1A46">
        <w:rPr>
          <w:sz w:val="28"/>
          <w:szCs w:val="28"/>
        </w:rPr>
        <w:t xml:space="preserve">W1 </w:t>
      </w:r>
      <w:r w:rsidR="005E37C1" w:rsidRPr="007F1A46">
        <w:rPr>
          <w:sz w:val="28"/>
          <w:szCs w:val="28"/>
        </w:rPr>
        <w:t>allud</w:t>
      </w:r>
      <w:r w:rsidRPr="007F1A46">
        <w:rPr>
          <w:sz w:val="28"/>
          <w:szCs w:val="28"/>
        </w:rPr>
        <w:t>es</w:t>
      </w:r>
      <w:r w:rsidR="005E37C1" w:rsidRPr="007F1A46">
        <w:rPr>
          <w:sz w:val="28"/>
          <w:szCs w:val="28"/>
        </w:rPr>
        <w:t xml:space="preserve"> to </w:t>
      </w:r>
      <w:r w:rsidR="00B35BAA" w:rsidRPr="007F1A46">
        <w:rPr>
          <w:sz w:val="28"/>
          <w:szCs w:val="28"/>
        </w:rPr>
        <w:t xml:space="preserve">his experience as a businessman and </w:t>
      </w:r>
      <w:r w:rsidR="005E37C1" w:rsidRPr="007F1A46">
        <w:rPr>
          <w:sz w:val="28"/>
          <w:szCs w:val="28"/>
        </w:rPr>
        <w:t xml:space="preserve">thus the invited this court </w:t>
      </w:r>
      <w:r w:rsidR="00B35BAA" w:rsidRPr="007F1A46">
        <w:rPr>
          <w:sz w:val="28"/>
          <w:szCs w:val="28"/>
        </w:rPr>
        <w:t>to accept his evidence and recognize his experience in business and his standing in society</w:t>
      </w:r>
      <w:r w:rsidR="005E37C1" w:rsidRPr="007F1A46">
        <w:rPr>
          <w:sz w:val="28"/>
          <w:szCs w:val="28"/>
        </w:rPr>
        <w:t xml:space="preserve"> and </w:t>
      </w:r>
      <w:r w:rsidRPr="007F1A46">
        <w:rPr>
          <w:sz w:val="28"/>
          <w:szCs w:val="28"/>
        </w:rPr>
        <w:t xml:space="preserve">as being of evidential value to prove </w:t>
      </w:r>
      <w:r w:rsidR="00D12878" w:rsidRPr="007F1A46">
        <w:rPr>
          <w:sz w:val="28"/>
          <w:szCs w:val="28"/>
        </w:rPr>
        <w:t xml:space="preserve"> </w:t>
      </w:r>
      <w:r w:rsidRPr="007F1A46">
        <w:rPr>
          <w:sz w:val="28"/>
          <w:szCs w:val="28"/>
        </w:rPr>
        <w:t>the P</w:t>
      </w:r>
      <w:r w:rsidR="005E37C1" w:rsidRPr="007F1A46">
        <w:rPr>
          <w:sz w:val="28"/>
          <w:szCs w:val="28"/>
        </w:rPr>
        <w:t>laintiff</w:t>
      </w:r>
      <w:r w:rsidRPr="007F1A46">
        <w:rPr>
          <w:sz w:val="28"/>
          <w:szCs w:val="28"/>
        </w:rPr>
        <w:t>’</w:t>
      </w:r>
      <w:r w:rsidR="005E37C1" w:rsidRPr="007F1A46">
        <w:rPr>
          <w:sz w:val="28"/>
          <w:szCs w:val="28"/>
        </w:rPr>
        <w:t>s case taking into account t</w:t>
      </w:r>
      <w:r w:rsidR="004C53F8" w:rsidRPr="007F1A46">
        <w:rPr>
          <w:sz w:val="28"/>
          <w:szCs w:val="28"/>
        </w:rPr>
        <w:t xml:space="preserve">he principle of awarding damages </w:t>
      </w:r>
      <w:r w:rsidR="005E37C1" w:rsidRPr="007F1A46">
        <w:rPr>
          <w:sz w:val="28"/>
          <w:szCs w:val="28"/>
        </w:rPr>
        <w:t xml:space="preserve">as </w:t>
      </w:r>
      <w:r w:rsidRPr="007F1A46">
        <w:rPr>
          <w:sz w:val="28"/>
          <w:szCs w:val="28"/>
        </w:rPr>
        <w:t>was held</w:t>
      </w:r>
      <w:r w:rsidR="004C53F8" w:rsidRPr="007F1A46">
        <w:rPr>
          <w:sz w:val="28"/>
          <w:szCs w:val="28"/>
        </w:rPr>
        <w:t xml:space="preserve"> in the case of </w:t>
      </w:r>
      <w:r w:rsidR="004C53F8" w:rsidRPr="007F1A46">
        <w:rPr>
          <w:b/>
          <w:sz w:val="28"/>
          <w:szCs w:val="28"/>
        </w:rPr>
        <w:t xml:space="preserve">Rookes </w:t>
      </w:r>
      <w:r w:rsidR="00BF651A" w:rsidRPr="007F1A46">
        <w:rPr>
          <w:b/>
          <w:sz w:val="28"/>
          <w:szCs w:val="28"/>
        </w:rPr>
        <w:t xml:space="preserve">V </w:t>
      </w:r>
      <w:r w:rsidR="004C53F8" w:rsidRPr="007F1A46">
        <w:rPr>
          <w:b/>
          <w:sz w:val="28"/>
          <w:szCs w:val="28"/>
        </w:rPr>
        <w:t xml:space="preserve">Barnard </w:t>
      </w:r>
      <w:r w:rsidR="00BF651A" w:rsidRPr="007F1A46">
        <w:rPr>
          <w:b/>
          <w:sz w:val="28"/>
          <w:szCs w:val="28"/>
        </w:rPr>
        <w:t xml:space="preserve">[1964] </w:t>
      </w:r>
      <w:r w:rsidR="004C53F8" w:rsidRPr="007F1A46">
        <w:rPr>
          <w:b/>
          <w:sz w:val="28"/>
          <w:szCs w:val="28"/>
        </w:rPr>
        <w:t xml:space="preserve">AC </w:t>
      </w:r>
      <w:r w:rsidR="00BF651A" w:rsidRPr="007F1A46">
        <w:rPr>
          <w:b/>
          <w:sz w:val="28"/>
          <w:szCs w:val="28"/>
        </w:rPr>
        <w:t xml:space="preserve">1129 </w:t>
      </w:r>
      <w:r w:rsidR="00BF651A" w:rsidRPr="007F1A46">
        <w:rPr>
          <w:sz w:val="28"/>
          <w:szCs w:val="28"/>
        </w:rPr>
        <w:t>(</w:t>
      </w:r>
      <w:r w:rsidR="004C53F8" w:rsidRPr="007F1A46">
        <w:rPr>
          <w:sz w:val="28"/>
          <w:szCs w:val="28"/>
        </w:rPr>
        <w:t xml:space="preserve">House </w:t>
      </w:r>
      <w:r w:rsidR="00BF651A" w:rsidRPr="007F1A46">
        <w:rPr>
          <w:sz w:val="28"/>
          <w:szCs w:val="28"/>
        </w:rPr>
        <w:t xml:space="preserve">of </w:t>
      </w:r>
      <w:r w:rsidR="004C53F8" w:rsidRPr="007F1A46">
        <w:rPr>
          <w:sz w:val="28"/>
          <w:szCs w:val="28"/>
        </w:rPr>
        <w:t>Lords</w:t>
      </w:r>
      <w:r w:rsidR="00BF651A" w:rsidRPr="007F1A46">
        <w:rPr>
          <w:sz w:val="28"/>
          <w:szCs w:val="28"/>
        </w:rPr>
        <w:t>)</w:t>
      </w:r>
      <w:r w:rsidR="004C53F8" w:rsidRPr="007F1A46">
        <w:rPr>
          <w:sz w:val="28"/>
          <w:szCs w:val="28"/>
        </w:rPr>
        <w:t xml:space="preserve"> </w:t>
      </w:r>
      <w:r w:rsidR="005E37C1" w:rsidRPr="007F1A46">
        <w:rPr>
          <w:sz w:val="28"/>
          <w:szCs w:val="28"/>
        </w:rPr>
        <w:t xml:space="preserve">which </w:t>
      </w:r>
      <w:r w:rsidR="004C53F8" w:rsidRPr="007F1A46">
        <w:rPr>
          <w:sz w:val="28"/>
          <w:szCs w:val="28"/>
        </w:rPr>
        <w:t xml:space="preserve">demands restoration </w:t>
      </w:r>
      <w:r w:rsidR="00304B20" w:rsidRPr="007F1A46">
        <w:rPr>
          <w:sz w:val="28"/>
          <w:szCs w:val="28"/>
        </w:rPr>
        <w:t xml:space="preserve">an </w:t>
      </w:r>
      <w:r w:rsidR="004C53F8" w:rsidRPr="007F1A46">
        <w:rPr>
          <w:sz w:val="28"/>
          <w:szCs w:val="28"/>
        </w:rPr>
        <w:t>injured party to the position he should have been in had the injury c</w:t>
      </w:r>
      <w:r w:rsidR="005E37C1" w:rsidRPr="007F1A46">
        <w:rPr>
          <w:sz w:val="28"/>
          <w:szCs w:val="28"/>
        </w:rPr>
        <w:t>omplained of not been inflicted with</w:t>
      </w:r>
      <w:r w:rsidR="00A121F3" w:rsidRPr="007F1A46">
        <w:rPr>
          <w:sz w:val="28"/>
          <w:szCs w:val="28"/>
        </w:rPr>
        <w:t xml:space="preserve"> </w:t>
      </w:r>
      <w:r w:rsidR="004C53F8" w:rsidRPr="007F1A46">
        <w:rPr>
          <w:sz w:val="28"/>
          <w:szCs w:val="28"/>
        </w:rPr>
        <w:t xml:space="preserve">PW1 </w:t>
      </w:r>
      <w:r w:rsidR="005E37C1" w:rsidRPr="007F1A46">
        <w:rPr>
          <w:sz w:val="28"/>
          <w:szCs w:val="28"/>
        </w:rPr>
        <w:t xml:space="preserve">stating </w:t>
      </w:r>
      <w:r w:rsidR="004C53F8" w:rsidRPr="007F1A46">
        <w:rPr>
          <w:sz w:val="28"/>
          <w:szCs w:val="28"/>
        </w:rPr>
        <w:t xml:space="preserve"> </w:t>
      </w:r>
      <w:r w:rsidR="005E37C1" w:rsidRPr="007F1A46">
        <w:rPr>
          <w:sz w:val="28"/>
          <w:szCs w:val="28"/>
        </w:rPr>
        <w:t xml:space="preserve">only </w:t>
      </w:r>
      <w:r w:rsidR="004C53F8" w:rsidRPr="007F1A46">
        <w:rPr>
          <w:sz w:val="28"/>
          <w:szCs w:val="28"/>
        </w:rPr>
        <w:t xml:space="preserve"> an award of U.shs 203,072,000/= </w:t>
      </w:r>
      <w:r w:rsidR="005E37C1" w:rsidRPr="007F1A46">
        <w:rPr>
          <w:sz w:val="28"/>
          <w:szCs w:val="28"/>
        </w:rPr>
        <w:t xml:space="preserve">would </w:t>
      </w:r>
      <w:r w:rsidR="004C53F8" w:rsidRPr="007F1A46">
        <w:rPr>
          <w:sz w:val="28"/>
          <w:szCs w:val="28"/>
        </w:rPr>
        <w:t xml:space="preserve"> restore the plaintiff in th</w:t>
      </w:r>
      <w:r w:rsidR="005E37C1" w:rsidRPr="007F1A46">
        <w:rPr>
          <w:sz w:val="28"/>
          <w:szCs w:val="28"/>
        </w:rPr>
        <w:t>e</w:t>
      </w:r>
      <w:r w:rsidR="004C53F8" w:rsidRPr="007F1A46">
        <w:rPr>
          <w:sz w:val="28"/>
          <w:szCs w:val="28"/>
        </w:rPr>
        <w:t xml:space="preserve"> position </w:t>
      </w:r>
      <w:r w:rsidR="005E37C1" w:rsidRPr="007F1A46">
        <w:rPr>
          <w:sz w:val="28"/>
          <w:szCs w:val="28"/>
        </w:rPr>
        <w:t xml:space="preserve">it was in before he defendant breached its obligations together with </w:t>
      </w:r>
      <w:r w:rsidR="004C53F8" w:rsidRPr="007F1A46">
        <w:rPr>
          <w:sz w:val="28"/>
          <w:szCs w:val="28"/>
        </w:rPr>
        <w:t xml:space="preserve">an award of general damages for </w:t>
      </w:r>
      <w:r w:rsidR="004C53F8" w:rsidRPr="007F1A46">
        <w:rPr>
          <w:sz w:val="28"/>
          <w:szCs w:val="28"/>
        </w:rPr>
        <w:lastRenderedPageBreak/>
        <w:t>breach of contract</w:t>
      </w:r>
      <w:r w:rsidR="005E37C1" w:rsidRPr="007F1A46">
        <w:rPr>
          <w:sz w:val="28"/>
          <w:szCs w:val="28"/>
        </w:rPr>
        <w:t xml:space="preserve"> at the sum of </w:t>
      </w:r>
      <w:r w:rsidR="000B08DF" w:rsidRPr="007F1A46">
        <w:rPr>
          <w:sz w:val="28"/>
          <w:szCs w:val="28"/>
        </w:rPr>
        <w:t xml:space="preserve"> sum of Ug. Shs</w:t>
      </w:r>
      <w:r w:rsidR="004C53F8" w:rsidRPr="007F1A46">
        <w:rPr>
          <w:sz w:val="28"/>
          <w:szCs w:val="28"/>
        </w:rPr>
        <w:t xml:space="preserve"> 50,000,000/= would compensate the plaintiff for all the sufferings, inc</w:t>
      </w:r>
      <w:r w:rsidR="00304B20" w:rsidRPr="007F1A46">
        <w:rPr>
          <w:sz w:val="28"/>
          <w:szCs w:val="28"/>
        </w:rPr>
        <w:t xml:space="preserve">onveniences and mental anguish </w:t>
      </w:r>
      <w:r w:rsidR="004C53F8" w:rsidRPr="007F1A46">
        <w:rPr>
          <w:sz w:val="28"/>
          <w:szCs w:val="28"/>
        </w:rPr>
        <w:t xml:space="preserve">the </w:t>
      </w:r>
      <w:r w:rsidR="00304B20" w:rsidRPr="007F1A46">
        <w:rPr>
          <w:sz w:val="28"/>
          <w:szCs w:val="28"/>
        </w:rPr>
        <w:t>Plaintiff had</w:t>
      </w:r>
      <w:r w:rsidR="004C53F8" w:rsidRPr="007F1A46">
        <w:rPr>
          <w:sz w:val="28"/>
          <w:szCs w:val="28"/>
        </w:rPr>
        <w:t xml:space="preserve"> gone through over the years.</w:t>
      </w:r>
      <w:r w:rsidR="00A121F3" w:rsidRPr="007F1A46">
        <w:rPr>
          <w:sz w:val="28"/>
          <w:szCs w:val="28"/>
        </w:rPr>
        <w:t xml:space="preserve"> </w:t>
      </w:r>
    </w:p>
    <w:p w:rsidR="00B91217" w:rsidRPr="007F1A46" w:rsidRDefault="00304B20" w:rsidP="00AF5FE0">
      <w:pPr>
        <w:spacing w:line="480" w:lineRule="auto"/>
        <w:jc w:val="both"/>
        <w:rPr>
          <w:sz w:val="28"/>
          <w:szCs w:val="28"/>
        </w:rPr>
      </w:pPr>
      <w:r w:rsidRPr="007F1A46">
        <w:rPr>
          <w:sz w:val="28"/>
          <w:szCs w:val="28"/>
        </w:rPr>
        <w:t>Apart from this general testimony there was no proof of the value of the suit properties adduced in court.</w:t>
      </w:r>
      <w:r w:rsidR="000E04F6" w:rsidRPr="007F1A46">
        <w:rPr>
          <w:sz w:val="28"/>
          <w:szCs w:val="28"/>
        </w:rPr>
        <w:t xml:space="preserve"> </w:t>
      </w:r>
      <w:r w:rsidRPr="007F1A46">
        <w:rPr>
          <w:sz w:val="28"/>
          <w:szCs w:val="28"/>
        </w:rPr>
        <w:t>I</w:t>
      </w:r>
      <w:r w:rsidR="000E04F6" w:rsidRPr="007F1A46">
        <w:rPr>
          <w:sz w:val="28"/>
          <w:szCs w:val="28"/>
        </w:rPr>
        <w:t>t</w:t>
      </w:r>
      <w:r w:rsidR="00AC578F" w:rsidRPr="007F1A46">
        <w:rPr>
          <w:sz w:val="28"/>
          <w:szCs w:val="28"/>
        </w:rPr>
        <w:t xml:space="preserve"> is trite that special damages must be both specifically pleaded and specifically proved</w:t>
      </w:r>
      <w:r w:rsidR="000E04F6" w:rsidRPr="007F1A46">
        <w:rPr>
          <w:sz w:val="28"/>
          <w:szCs w:val="28"/>
        </w:rPr>
        <w:t xml:space="preserve"> </w:t>
      </w:r>
      <w:r w:rsidRPr="007F1A46">
        <w:rPr>
          <w:sz w:val="28"/>
          <w:szCs w:val="28"/>
        </w:rPr>
        <w:t xml:space="preserve">for such a claim to succeed </w:t>
      </w:r>
      <w:r w:rsidR="00B91217" w:rsidRPr="007F1A46">
        <w:rPr>
          <w:sz w:val="28"/>
          <w:szCs w:val="28"/>
        </w:rPr>
        <w:t xml:space="preserve">thus the Plaintiff’s </w:t>
      </w:r>
      <w:r w:rsidR="000E04F6" w:rsidRPr="007F1A46">
        <w:rPr>
          <w:sz w:val="28"/>
          <w:szCs w:val="28"/>
        </w:rPr>
        <w:t>claim</w:t>
      </w:r>
      <w:r w:rsidR="00AC578F" w:rsidRPr="007F1A46">
        <w:rPr>
          <w:sz w:val="28"/>
          <w:szCs w:val="28"/>
        </w:rPr>
        <w:t xml:space="preserve"> for special damages </w:t>
      </w:r>
      <w:r w:rsidR="00B91217" w:rsidRPr="007F1A46">
        <w:rPr>
          <w:sz w:val="28"/>
          <w:szCs w:val="28"/>
        </w:rPr>
        <w:t>w</w:t>
      </w:r>
      <w:r w:rsidR="000E04F6" w:rsidRPr="007F1A46">
        <w:rPr>
          <w:sz w:val="28"/>
          <w:szCs w:val="28"/>
        </w:rPr>
        <w:t>ould fail for lack of proof</w:t>
      </w:r>
      <w:r w:rsidR="00B91217" w:rsidRPr="007F1A46">
        <w:rPr>
          <w:sz w:val="28"/>
          <w:szCs w:val="28"/>
        </w:rPr>
        <w:t>.</w:t>
      </w:r>
    </w:p>
    <w:p w:rsidR="0011667A" w:rsidRPr="007F1A46" w:rsidRDefault="00B91217" w:rsidP="00AF5FE0">
      <w:pPr>
        <w:spacing w:line="480" w:lineRule="auto"/>
        <w:jc w:val="both"/>
        <w:rPr>
          <w:sz w:val="28"/>
          <w:szCs w:val="28"/>
        </w:rPr>
      </w:pPr>
      <w:r w:rsidRPr="007F1A46">
        <w:rPr>
          <w:sz w:val="28"/>
          <w:szCs w:val="28"/>
        </w:rPr>
        <w:t xml:space="preserve">As </w:t>
      </w:r>
      <w:r w:rsidR="000E04F6" w:rsidRPr="007F1A46">
        <w:rPr>
          <w:sz w:val="28"/>
          <w:szCs w:val="28"/>
        </w:rPr>
        <w:t>regards to t</w:t>
      </w:r>
      <w:r w:rsidRPr="007F1A46">
        <w:rPr>
          <w:sz w:val="28"/>
          <w:szCs w:val="28"/>
        </w:rPr>
        <w:t>he P</w:t>
      </w:r>
      <w:r w:rsidR="00AC578F" w:rsidRPr="007F1A46">
        <w:rPr>
          <w:sz w:val="28"/>
          <w:szCs w:val="28"/>
        </w:rPr>
        <w:t xml:space="preserve">laintiff’s claim for Ug Shs. 3,072,000/= </w:t>
      </w:r>
      <w:r w:rsidRPr="007F1A46">
        <w:rPr>
          <w:sz w:val="28"/>
          <w:szCs w:val="28"/>
        </w:rPr>
        <w:t xml:space="preserve">stated to be </w:t>
      </w:r>
      <w:r w:rsidR="00430E9F" w:rsidRPr="007F1A46">
        <w:rPr>
          <w:sz w:val="28"/>
          <w:szCs w:val="28"/>
        </w:rPr>
        <w:t xml:space="preserve">legal costs </w:t>
      </w:r>
      <w:r w:rsidRPr="007F1A46">
        <w:rPr>
          <w:sz w:val="28"/>
          <w:szCs w:val="28"/>
        </w:rPr>
        <w:t xml:space="preserve">which arose as a result </w:t>
      </w:r>
      <w:proofErr w:type="gramStart"/>
      <w:r w:rsidRPr="007F1A46">
        <w:rPr>
          <w:sz w:val="28"/>
          <w:szCs w:val="28"/>
        </w:rPr>
        <w:t xml:space="preserve">of </w:t>
      </w:r>
      <w:r w:rsidR="00430E9F" w:rsidRPr="007F1A46">
        <w:rPr>
          <w:sz w:val="28"/>
          <w:szCs w:val="28"/>
        </w:rPr>
        <w:t xml:space="preserve"> issuing</w:t>
      </w:r>
      <w:proofErr w:type="gramEnd"/>
      <w:r w:rsidR="00430E9F" w:rsidRPr="007F1A46">
        <w:rPr>
          <w:sz w:val="28"/>
          <w:szCs w:val="28"/>
        </w:rPr>
        <w:t xml:space="preserve"> a demand letter for payment of a utility bill </w:t>
      </w:r>
      <w:r w:rsidRPr="007F1A46">
        <w:rPr>
          <w:sz w:val="28"/>
          <w:szCs w:val="28"/>
        </w:rPr>
        <w:t xml:space="preserve">to the Defendant, I would also find that this claim would fail for </w:t>
      </w:r>
      <w:r w:rsidR="000E04F6" w:rsidRPr="007F1A46">
        <w:rPr>
          <w:sz w:val="28"/>
          <w:szCs w:val="28"/>
        </w:rPr>
        <w:t xml:space="preserve">as well for the claim of securing the payment of the </w:t>
      </w:r>
      <w:r w:rsidR="00430E9F" w:rsidRPr="007F1A46">
        <w:rPr>
          <w:sz w:val="28"/>
          <w:szCs w:val="28"/>
        </w:rPr>
        <w:t xml:space="preserve">utility bill was not </w:t>
      </w:r>
      <w:r w:rsidRPr="007F1A46">
        <w:rPr>
          <w:sz w:val="28"/>
          <w:szCs w:val="28"/>
        </w:rPr>
        <w:t>pleaded</w:t>
      </w:r>
      <w:r w:rsidR="00430E9F" w:rsidRPr="007F1A46">
        <w:rPr>
          <w:sz w:val="28"/>
          <w:szCs w:val="28"/>
        </w:rPr>
        <w:t xml:space="preserve"> and </w:t>
      </w:r>
      <w:r w:rsidRPr="007F1A46">
        <w:rPr>
          <w:sz w:val="28"/>
          <w:szCs w:val="28"/>
        </w:rPr>
        <w:t xml:space="preserve">thus not a subject for investigation by this court as to its veracity or not in this court. </w:t>
      </w:r>
      <w:r w:rsidR="0011667A" w:rsidRPr="007F1A46">
        <w:rPr>
          <w:sz w:val="28"/>
          <w:szCs w:val="28"/>
        </w:rPr>
        <w:t>I</w:t>
      </w:r>
      <w:r w:rsidR="000E04F6" w:rsidRPr="007F1A46">
        <w:rPr>
          <w:sz w:val="28"/>
          <w:szCs w:val="28"/>
        </w:rPr>
        <w:t>n any case</w:t>
      </w:r>
      <w:r w:rsidR="0011667A" w:rsidRPr="007F1A46">
        <w:rPr>
          <w:sz w:val="28"/>
          <w:szCs w:val="28"/>
        </w:rPr>
        <w:t xml:space="preserve">, I would consider such a claim to be only arising as an outcome </w:t>
      </w:r>
      <w:proofErr w:type="gramStart"/>
      <w:r w:rsidR="0011667A" w:rsidRPr="007F1A46">
        <w:rPr>
          <w:sz w:val="28"/>
          <w:szCs w:val="28"/>
        </w:rPr>
        <w:t xml:space="preserve">of </w:t>
      </w:r>
      <w:r w:rsidR="000E04F6" w:rsidRPr="007F1A46">
        <w:rPr>
          <w:sz w:val="28"/>
          <w:szCs w:val="28"/>
        </w:rPr>
        <w:t xml:space="preserve"> </w:t>
      </w:r>
      <w:r w:rsidR="00430E9F" w:rsidRPr="007F1A46">
        <w:rPr>
          <w:sz w:val="28"/>
          <w:szCs w:val="28"/>
        </w:rPr>
        <w:t>a</w:t>
      </w:r>
      <w:proofErr w:type="gramEnd"/>
      <w:r w:rsidR="00430E9F" w:rsidRPr="007F1A46">
        <w:rPr>
          <w:sz w:val="28"/>
          <w:szCs w:val="28"/>
        </w:rPr>
        <w:t xml:space="preserve"> </w:t>
      </w:r>
      <w:r w:rsidR="0011667A" w:rsidRPr="007F1A46">
        <w:rPr>
          <w:sz w:val="28"/>
          <w:szCs w:val="28"/>
        </w:rPr>
        <w:t xml:space="preserve">court bill of </w:t>
      </w:r>
      <w:r w:rsidR="00430E9F" w:rsidRPr="007F1A46">
        <w:rPr>
          <w:sz w:val="28"/>
          <w:szCs w:val="28"/>
        </w:rPr>
        <w:t xml:space="preserve">tax </w:t>
      </w:r>
      <w:r w:rsidR="000E04F6" w:rsidRPr="007F1A46">
        <w:rPr>
          <w:sz w:val="28"/>
          <w:szCs w:val="28"/>
        </w:rPr>
        <w:t xml:space="preserve">order on </w:t>
      </w:r>
      <w:r w:rsidR="00430E9F" w:rsidRPr="007F1A46">
        <w:rPr>
          <w:sz w:val="28"/>
          <w:szCs w:val="28"/>
        </w:rPr>
        <w:t>costs in</w:t>
      </w:r>
      <w:r w:rsidR="0011667A" w:rsidRPr="007F1A46">
        <w:rPr>
          <w:sz w:val="28"/>
          <w:szCs w:val="28"/>
        </w:rPr>
        <w:t xml:space="preserve">curred in a suit </w:t>
      </w:r>
      <w:r w:rsidR="00430E9F" w:rsidRPr="007F1A46">
        <w:rPr>
          <w:sz w:val="28"/>
          <w:szCs w:val="28"/>
        </w:rPr>
        <w:t xml:space="preserve"> </w:t>
      </w:r>
      <w:r w:rsidR="000E04F6" w:rsidRPr="007F1A46">
        <w:rPr>
          <w:sz w:val="28"/>
          <w:szCs w:val="28"/>
        </w:rPr>
        <w:t xml:space="preserve">which </w:t>
      </w:r>
      <w:r w:rsidR="0011667A" w:rsidRPr="007F1A46">
        <w:rPr>
          <w:sz w:val="28"/>
          <w:szCs w:val="28"/>
        </w:rPr>
        <w:t xml:space="preserve">would be the point of reference but </w:t>
      </w:r>
      <w:r w:rsidR="000E04F6" w:rsidRPr="007F1A46">
        <w:rPr>
          <w:sz w:val="28"/>
          <w:szCs w:val="28"/>
        </w:rPr>
        <w:t>is lacking</w:t>
      </w:r>
      <w:r w:rsidR="00430E9F" w:rsidRPr="007F1A46">
        <w:rPr>
          <w:sz w:val="28"/>
          <w:szCs w:val="28"/>
        </w:rPr>
        <w:t xml:space="preserve"> </w:t>
      </w:r>
      <w:r w:rsidR="000E04F6" w:rsidRPr="007F1A46">
        <w:rPr>
          <w:sz w:val="28"/>
          <w:szCs w:val="28"/>
        </w:rPr>
        <w:t>here</w:t>
      </w:r>
      <w:r w:rsidR="0011667A" w:rsidRPr="007F1A46">
        <w:rPr>
          <w:sz w:val="28"/>
          <w:szCs w:val="28"/>
        </w:rPr>
        <w:t>.</w:t>
      </w:r>
    </w:p>
    <w:p w:rsidR="00051F41" w:rsidRPr="007F1A46" w:rsidRDefault="0011667A" w:rsidP="00AF5FE0">
      <w:pPr>
        <w:spacing w:line="480" w:lineRule="auto"/>
        <w:jc w:val="both"/>
        <w:rPr>
          <w:sz w:val="28"/>
          <w:szCs w:val="28"/>
        </w:rPr>
      </w:pPr>
      <w:r w:rsidRPr="007F1A46">
        <w:rPr>
          <w:sz w:val="28"/>
          <w:szCs w:val="28"/>
        </w:rPr>
        <w:t>As for the claim for</w:t>
      </w:r>
      <w:r w:rsidR="000E04F6" w:rsidRPr="007F1A46">
        <w:rPr>
          <w:sz w:val="28"/>
          <w:szCs w:val="28"/>
        </w:rPr>
        <w:t xml:space="preserve"> </w:t>
      </w:r>
      <w:r w:rsidR="00430E9F" w:rsidRPr="007F1A46">
        <w:rPr>
          <w:sz w:val="28"/>
          <w:szCs w:val="28"/>
        </w:rPr>
        <w:t xml:space="preserve">Ug </w:t>
      </w:r>
      <w:r w:rsidR="000E04F6" w:rsidRPr="007F1A46">
        <w:rPr>
          <w:sz w:val="28"/>
          <w:szCs w:val="28"/>
        </w:rPr>
        <w:t xml:space="preserve">Shs, 50,000,000/= </w:t>
      </w:r>
      <w:r w:rsidRPr="007F1A46">
        <w:rPr>
          <w:sz w:val="28"/>
          <w:szCs w:val="28"/>
        </w:rPr>
        <w:t xml:space="preserve">being general </w:t>
      </w:r>
      <w:r w:rsidR="000E04F6" w:rsidRPr="007F1A46">
        <w:rPr>
          <w:sz w:val="28"/>
          <w:szCs w:val="28"/>
        </w:rPr>
        <w:t>damages claim</w:t>
      </w:r>
      <w:r w:rsidRPr="007F1A46">
        <w:rPr>
          <w:sz w:val="28"/>
          <w:szCs w:val="28"/>
        </w:rPr>
        <w:t xml:space="preserve">ed </w:t>
      </w:r>
      <w:r w:rsidR="004D5F47" w:rsidRPr="007F1A46">
        <w:rPr>
          <w:sz w:val="28"/>
          <w:szCs w:val="28"/>
        </w:rPr>
        <w:t>this must</w:t>
      </w:r>
      <w:r w:rsidR="00430E9F" w:rsidRPr="007F1A46">
        <w:rPr>
          <w:sz w:val="28"/>
          <w:szCs w:val="28"/>
        </w:rPr>
        <w:t xml:space="preserve"> a</w:t>
      </w:r>
      <w:r w:rsidR="000E04F6" w:rsidRPr="007F1A46">
        <w:rPr>
          <w:sz w:val="28"/>
          <w:szCs w:val="28"/>
        </w:rPr>
        <w:t>lso fail as it is without basis for</w:t>
      </w:r>
      <w:r w:rsidRPr="007F1A46">
        <w:rPr>
          <w:sz w:val="28"/>
          <w:szCs w:val="28"/>
        </w:rPr>
        <w:t xml:space="preserve"> I find that </w:t>
      </w:r>
      <w:r w:rsidR="00430E9F" w:rsidRPr="007F1A46">
        <w:rPr>
          <w:sz w:val="28"/>
          <w:szCs w:val="28"/>
        </w:rPr>
        <w:t>no contract having been breached</w:t>
      </w:r>
      <w:r w:rsidRPr="007F1A46">
        <w:rPr>
          <w:sz w:val="28"/>
          <w:szCs w:val="28"/>
        </w:rPr>
        <w:t xml:space="preserve"> by the Defendant to sustain such an award by this court</w:t>
      </w:r>
      <w:r w:rsidR="004D5F47" w:rsidRPr="007F1A46">
        <w:rPr>
          <w:sz w:val="28"/>
          <w:szCs w:val="28"/>
        </w:rPr>
        <w:t xml:space="preserve"> as </w:t>
      </w:r>
      <w:r w:rsidR="00051F41" w:rsidRPr="007F1A46">
        <w:rPr>
          <w:sz w:val="28"/>
          <w:szCs w:val="28"/>
        </w:rPr>
        <w:t>i</w:t>
      </w:r>
      <w:r w:rsidR="00D04780" w:rsidRPr="007F1A46">
        <w:rPr>
          <w:sz w:val="28"/>
          <w:szCs w:val="28"/>
        </w:rPr>
        <w:t xml:space="preserve">t was within the contractual right of the </w:t>
      </w:r>
      <w:r w:rsidR="004D5F47" w:rsidRPr="007F1A46">
        <w:rPr>
          <w:sz w:val="28"/>
          <w:szCs w:val="28"/>
        </w:rPr>
        <w:t xml:space="preserve">Defendant </w:t>
      </w:r>
      <w:r w:rsidR="00D04780" w:rsidRPr="007F1A46">
        <w:rPr>
          <w:sz w:val="28"/>
          <w:szCs w:val="28"/>
        </w:rPr>
        <w:t xml:space="preserve">to transfer its rights in its assets to whomsoever it wanted having exercised its obligations under the contract of </w:t>
      </w:r>
      <w:r w:rsidR="004D5F47" w:rsidRPr="007F1A46">
        <w:rPr>
          <w:sz w:val="28"/>
          <w:szCs w:val="28"/>
        </w:rPr>
        <w:t xml:space="preserve">the </w:t>
      </w:r>
      <w:r w:rsidR="00D04780" w:rsidRPr="007F1A46">
        <w:rPr>
          <w:sz w:val="28"/>
          <w:szCs w:val="28"/>
        </w:rPr>
        <w:t xml:space="preserve">tenancy which </w:t>
      </w:r>
      <w:r w:rsidR="004D5F47" w:rsidRPr="007F1A46">
        <w:rPr>
          <w:sz w:val="28"/>
          <w:szCs w:val="28"/>
        </w:rPr>
        <w:lastRenderedPageBreak/>
        <w:t xml:space="preserve">in my view </w:t>
      </w:r>
      <w:r w:rsidR="00051F41" w:rsidRPr="007F1A46">
        <w:rPr>
          <w:sz w:val="28"/>
          <w:szCs w:val="28"/>
        </w:rPr>
        <w:t xml:space="preserve">could </w:t>
      </w:r>
      <w:r w:rsidR="004D5F47" w:rsidRPr="007F1A46">
        <w:rPr>
          <w:sz w:val="28"/>
          <w:szCs w:val="28"/>
        </w:rPr>
        <w:t xml:space="preserve">only </w:t>
      </w:r>
      <w:r w:rsidR="00051F41" w:rsidRPr="007F1A46">
        <w:rPr>
          <w:sz w:val="28"/>
          <w:szCs w:val="28"/>
        </w:rPr>
        <w:t xml:space="preserve">be varied by </w:t>
      </w:r>
      <w:r w:rsidR="00D04780" w:rsidRPr="007F1A46">
        <w:rPr>
          <w:sz w:val="28"/>
          <w:szCs w:val="28"/>
        </w:rPr>
        <w:t xml:space="preserve"> </w:t>
      </w:r>
      <w:r w:rsidR="00051F41" w:rsidRPr="007F1A46">
        <w:rPr>
          <w:sz w:val="28"/>
          <w:szCs w:val="28"/>
        </w:rPr>
        <w:t xml:space="preserve">legal instrument </w:t>
      </w:r>
      <w:r w:rsidR="004D5F47" w:rsidRPr="007F1A46">
        <w:rPr>
          <w:sz w:val="28"/>
          <w:szCs w:val="28"/>
        </w:rPr>
        <w:t xml:space="preserve">properly acceded to by both parties </w:t>
      </w:r>
      <w:r w:rsidR="00051F41" w:rsidRPr="007F1A46">
        <w:rPr>
          <w:sz w:val="28"/>
          <w:szCs w:val="28"/>
        </w:rPr>
        <w:t xml:space="preserve">and </w:t>
      </w:r>
      <w:r w:rsidR="004D5F47" w:rsidRPr="007F1A46">
        <w:rPr>
          <w:sz w:val="28"/>
          <w:szCs w:val="28"/>
        </w:rPr>
        <w:t xml:space="preserve">not what was produced in court as evidence of the variation of a contract by the parties </w:t>
      </w:r>
      <w:r w:rsidR="00051F41" w:rsidRPr="007F1A46">
        <w:rPr>
          <w:sz w:val="28"/>
          <w:szCs w:val="28"/>
        </w:rPr>
        <w:t>for</w:t>
      </w:r>
      <w:r w:rsidR="00D04780" w:rsidRPr="007F1A46">
        <w:rPr>
          <w:sz w:val="28"/>
          <w:szCs w:val="28"/>
        </w:rPr>
        <w:t xml:space="preserve"> there could have been no variation to the contractual terms other than those terms which are mutually agreed to</w:t>
      </w:r>
      <w:r w:rsidR="00576B5A" w:rsidRPr="007F1A46">
        <w:rPr>
          <w:sz w:val="28"/>
          <w:szCs w:val="28"/>
        </w:rPr>
        <w:t xml:space="preserve"> </w:t>
      </w:r>
      <w:r w:rsidR="00D04780" w:rsidRPr="007F1A46">
        <w:rPr>
          <w:sz w:val="28"/>
          <w:szCs w:val="28"/>
        </w:rPr>
        <w:t xml:space="preserve">and </w:t>
      </w:r>
      <w:r w:rsidR="00051F41" w:rsidRPr="007F1A46">
        <w:rPr>
          <w:sz w:val="28"/>
          <w:szCs w:val="28"/>
        </w:rPr>
        <w:t>a</w:t>
      </w:r>
      <w:r w:rsidR="00D04780" w:rsidRPr="007F1A46">
        <w:rPr>
          <w:sz w:val="28"/>
          <w:szCs w:val="28"/>
        </w:rPr>
        <w:t>s</w:t>
      </w:r>
      <w:r w:rsidR="00051F41" w:rsidRPr="007F1A46">
        <w:rPr>
          <w:sz w:val="28"/>
          <w:szCs w:val="28"/>
        </w:rPr>
        <w:t xml:space="preserve">sented to </w:t>
      </w:r>
      <w:r w:rsidR="00D04780" w:rsidRPr="007F1A46">
        <w:rPr>
          <w:sz w:val="28"/>
          <w:szCs w:val="28"/>
        </w:rPr>
        <w:t>by the parties</w:t>
      </w:r>
      <w:r w:rsidR="00051F41" w:rsidRPr="007F1A46">
        <w:rPr>
          <w:sz w:val="28"/>
          <w:szCs w:val="28"/>
        </w:rPr>
        <w:t xml:space="preserve"> through the tenancy agreement notwithstanding the fact that there were</w:t>
      </w:r>
      <w:r w:rsidR="00D04780" w:rsidRPr="007F1A46">
        <w:rPr>
          <w:sz w:val="28"/>
          <w:szCs w:val="28"/>
        </w:rPr>
        <w:t xml:space="preserve"> letters </w:t>
      </w:r>
      <w:r w:rsidR="00051F41" w:rsidRPr="007F1A46">
        <w:rPr>
          <w:sz w:val="28"/>
          <w:szCs w:val="28"/>
        </w:rPr>
        <w:t>purporting</w:t>
      </w:r>
      <w:r w:rsidR="00D04780" w:rsidRPr="007F1A46">
        <w:rPr>
          <w:sz w:val="28"/>
          <w:szCs w:val="28"/>
        </w:rPr>
        <w:t xml:space="preserve"> to wave such rights </w:t>
      </w:r>
      <w:r w:rsidR="00051F41" w:rsidRPr="007F1A46">
        <w:rPr>
          <w:sz w:val="28"/>
          <w:szCs w:val="28"/>
        </w:rPr>
        <w:t xml:space="preserve">which I find to be of no effect </w:t>
      </w:r>
      <w:r w:rsidR="00D04780" w:rsidRPr="007F1A46">
        <w:rPr>
          <w:sz w:val="28"/>
          <w:szCs w:val="28"/>
        </w:rPr>
        <w:t xml:space="preserve">since they do not operate to alter clear </w:t>
      </w:r>
      <w:r w:rsidR="004D5F47" w:rsidRPr="007F1A46">
        <w:rPr>
          <w:sz w:val="28"/>
          <w:szCs w:val="28"/>
        </w:rPr>
        <w:t xml:space="preserve">the </w:t>
      </w:r>
      <w:r w:rsidR="00D04780" w:rsidRPr="007F1A46">
        <w:rPr>
          <w:sz w:val="28"/>
          <w:szCs w:val="28"/>
        </w:rPr>
        <w:t>terms of a contract unless an</w:t>
      </w:r>
      <w:r w:rsidR="00576B5A" w:rsidRPr="007F1A46">
        <w:rPr>
          <w:sz w:val="28"/>
          <w:szCs w:val="28"/>
        </w:rPr>
        <w:t xml:space="preserve">d until </w:t>
      </w:r>
      <w:r w:rsidR="00051F41" w:rsidRPr="007F1A46">
        <w:rPr>
          <w:sz w:val="28"/>
          <w:szCs w:val="28"/>
        </w:rPr>
        <w:t xml:space="preserve">the </w:t>
      </w:r>
      <w:r w:rsidR="00576B5A" w:rsidRPr="007F1A46">
        <w:rPr>
          <w:sz w:val="28"/>
          <w:szCs w:val="28"/>
        </w:rPr>
        <w:t xml:space="preserve">parties </w:t>
      </w:r>
      <w:r w:rsidR="00051F41" w:rsidRPr="007F1A46">
        <w:rPr>
          <w:sz w:val="28"/>
          <w:szCs w:val="28"/>
        </w:rPr>
        <w:t xml:space="preserve">properly </w:t>
      </w:r>
      <w:r w:rsidR="00576B5A" w:rsidRPr="007F1A46">
        <w:rPr>
          <w:sz w:val="28"/>
          <w:szCs w:val="28"/>
        </w:rPr>
        <w:t xml:space="preserve">signified </w:t>
      </w:r>
      <w:r w:rsidR="00051F41" w:rsidRPr="007F1A46">
        <w:rPr>
          <w:sz w:val="28"/>
          <w:szCs w:val="28"/>
        </w:rPr>
        <w:t xml:space="preserve">to in which case none </w:t>
      </w:r>
      <w:r w:rsidR="004D5F47" w:rsidRPr="007F1A46">
        <w:rPr>
          <w:sz w:val="28"/>
          <w:szCs w:val="28"/>
        </w:rPr>
        <w:t xml:space="preserve">exists </w:t>
      </w:r>
      <w:r w:rsidR="00051F41" w:rsidRPr="007F1A46">
        <w:rPr>
          <w:sz w:val="28"/>
          <w:szCs w:val="28"/>
        </w:rPr>
        <w:t xml:space="preserve">and </w:t>
      </w:r>
      <w:r w:rsidR="00576B5A" w:rsidRPr="007F1A46">
        <w:rPr>
          <w:sz w:val="28"/>
          <w:szCs w:val="28"/>
        </w:rPr>
        <w:t xml:space="preserve">so </w:t>
      </w:r>
      <w:r w:rsidR="00051F41" w:rsidRPr="007F1A46">
        <w:rPr>
          <w:sz w:val="28"/>
          <w:szCs w:val="28"/>
        </w:rPr>
        <w:t>could not operate to change terms of the tenancy.</w:t>
      </w:r>
    </w:p>
    <w:p w:rsidR="00D04780" w:rsidRPr="007F1A46" w:rsidRDefault="00051F41" w:rsidP="00C84C37">
      <w:pPr>
        <w:pStyle w:val="ListParagraph"/>
        <w:numPr>
          <w:ilvl w:val="0"/>
          <w:numId w:val="12"/>
        </w:numPr>
        <w:spacing w:line="480" w:lineRule="auto"/>
        <w:jc w:val="both"/>
        <w:rPr>
          <w:b/>
          <w:sz w:val="28"/>
          <w:szCs w:val="28"/>
          <w:u w:val="single"/>
        </w:rPr>
      </w:pPr>
      <w:r w:rsidRPr="007F1A46">
        <w:rPr>
          <w:b/>
          <w:sz w:val="28"/>
          <w:szCs w:val="28"/>
          <w:u w:val="single"/>
        </w:rPr>
        <w:t>Orders:</w:t>
      </w:r>
    </w:p>
    <w:p w:rsidR="00051F41" w:rsidRPr="007F1A46" w:rsidRDefault="005C60C5" w:rsidP="00AF5FE0">
      <w:pPr>
        <w:spacing w:line="480" w:lineRule="auto"/>
        <w:jc w:val="both"/>
        <w:rPr>
          <w:sz w:val="28"/>
          <w:szCs w:val="28"/>
        </w:rPr>
      </w:pPr>
      <w:r w:rsidRPr="007F1A46">
        <w:rPr>
          <w:sz w:val="28"/>
          <w:szCs w:val="28"/>
        </w:rPr>
        <w:t>From</w:t>
      </w:r>
      <w:r w:rsidR="00051F41" w:rsidRPr="007F1A46">
        <w:rPr>
          <w:sz w:val="28"/>
          <w:szCs w:val="28"/>
        </w:rPr>
        <w:t xml:space="preserve"> the above, I find that the</w:t>
      </w:r>
      <w:r w:rsidR="00104F9B" w:rsidRPr="007F1A46">
        <w:rPr>
          <w:sz w:val="28"/>
          <w:szCs w:val="28"/>
        </w:rPr>
        <w:t xml:space="preserve">re is no merit to the Plaintiff’s case against the </w:t>
      </w:r>
      <w:r w:rsidR="003F7181" w:rsidRPr="007F1A46">
        <w:rPr>
          <w:sz w:val="28"/>
          <w:szCs w:val="28"/>
        </w:rPr>
        <w:t xml:space="preserve">Defendant as </w:t>
      </w:r>
      <w:r w:rsidR="00104F9B" w:rsidRPr="007F1A46">
        <w:rPr>
          <w:sz w:val="28"/>
          <w:szCs w:val="28"/>
        </w:rPr>
        <w:t>the Plaintiff failed to prove</w:t>
      </w:r>
      <w:r w:rsidR="00051F41" w:rsidRPr="007F1A46">
        <w:rPr>
          <w:sz w:val="28"/>
          <w:szCs w:val="28"/>
        </w:rPr>
        <w:t xml:space="preserve"> its case against the </w:t>
      </w:r>
      <w:r w:rsidR="00104F9B" w:rsidRPr="007F1A46">
        <w:rPr>
          <w:sz w:val="28"/>
          <w:szCs w:val="28"/>
        </w:rPr>
        <w:t xml:space="preserve">Defendant </w:t>
      </w:r>
      <w:r w:rsidR="00051F41" w:rsidRPr="007F1A46">
        <w:rPr>
          <w:sz w:val="28"/>
          <w:szCs w:val="28"/>
        </w:rPr>
        <w:t xml:space="preserve">to the required </w:t>
      </w:r>
      <w:r w:rsidR="00104F9B" w:rsidRPr="007F1A46">
        <w:rPr>
          <w:sz w:val="28"/>
          <w:szCs w:val="28"/>
        </w:rPr>
        <w:t xml:space="preserve">standards </w:t>
      </w:r>
      <w:r w:rsidR="00051F41" w:rsidRPr="007F1A46">
        <w:rPr>
          <w:sz w:val="28"/>
          <w:szCs w:val="28"/>
        </w:rPr>
        <w:t>this</w:t>
      </w:r>
      <w:r w:rsidR="00104F9B" w:rsidRPr="007F1A46">
        <w:rPr>
          <w:sz w:val="28"/>
          <w:szCs w:val="28"/>
        </w:rPr>
        <w:t xml:space="preserve"> </w:t>
      </w:r>
      <w:r w:rsidR="003F7181" w:rsidRPr="007F1A46">
        <w:rPr>
          <w:sz w:val="28"/>
          <w:szCs w:val="28"/>
        </w:rPr>
        <w:t xml:space="preserve">suit </w:t>
      </w:r>
      <w:proofErr w:type="gramStart"/>
      <w:r w:rsidR="003F7181" w:rsidRPr="007F1A46">
        <w:rPr>
          <w:sz w:val="28"/>
          <w:szCs w:val="28"/>
        </w:rPr>
        <w:t xml:space="preserve">is </w:t>
      </w:r>
      <w:r w:rsidR="00104F9B" w:rsidRPr="007F1A46">
        <w:rPr>
          <w:sz w:val="28"/>
          <w:szCs w:val="28"/>
        </w:rPr>
        <w:t xml:space="preserve"> dismiss</w:t>
      </w:r>
      <w:r w:rsidR="003F7181" w:rsidRPr="007F1A46">
        <w:rPr>
          <w:sz w:val="28"/>
          <w:szCs w:val="28"/>
        </w:rPr>
        <w:t>ed</w:t>
      </w:r>
      <w:proofErr w:type="gramEnd"/>
      <w:r w:rsidR="00104F9B" w:rsidRPr="007F1A46">
        <w:rPr>
          <w:sz w:val="28"/>
          <w:szCs w:val="28"/>
        </w:rPr>
        <w:t xml:space="preserve"> suit with costs</w:t>
      </w:r>
      <w:r w:rsidR="00051F41" w:rsidRPr="007F1A46">
        <w:rPr>
          <w:sz w:val="28"/>
          <w:szCs w:val="28"/>
        </w:rPr>
        <w:t xml:space="preserve"> to the </w:t>
      </w:r>
      <w:r w:rsidR="00104F9B" w:rsidRPr="007F1A46">
        <w:rPr>
          <w:sz w:val="28"/>
          <w:szCs w:val="28"/>
        </w:rPr>
        <w:t>Defendant in any event.</w:t>
      </w:r>
    </w:p>
    <w:p w:rsidR="00104F9B" w:rsidRPr="007F1A46" w:rsidRDefault="00104F9B" w:rsidP="00AF5FE0">
      <w:pPr>
        <w:spacing w:line="480" w:lineRule="auto"/>
        <w:jc w:val="both"/>
        <w:rPr>
          <w:sz w:val="28"/>
          <w:szCs w:val="28"/>
        </w:rPr>
      </w:pPr>
      <w:r w:rsidRPr="007F1A46">
        <w:rPr>
          <w:sz w:val="28"/>
          <w:szCs w:val="28"/>
        </w:rPr>
        <w:t>I do so order accordingly.</w:t>
      </w:r>
    </w:p>
    <w:p w:rsidR="005C60C5" w:rsidRPr="007F1A46" w:rsidRDefault="005C60C5" w:rsidP="00AF5FE0">
      <w:pPr>
        <w:spacing w:line="480" w:lineRule="auto"/>
        <w:jc w:val="both"/>
        <w:rPr>
          <w:sz w:val="28"/>
          <w:szCs w:val="28"/>
        </w:rPr>
      </w:pPr>
    </w:p>
    <w:p w:rsidR="00FC7E75" w:rsidRPr="007F1A46" w:rsidRDefault="00FC7E75" w:rsidP="00AF5FE0">
      <w:pPr>
        <w:spacing w:line="480" w:lineRule="auto"/>
        <w:jc w:val="both"/>
        <w:rPr>
          <w:sz w:val="28"/>
          <w:szCs w:val="28"/>
        </w:rPr>
      </w:pPr>
    </w:p>
    <w:p w:rsidR="00FC7E75" w:rsidRPr="007F1A46" w:rsidRDefault="00FC7E75" w:rsidP="00AF5FE0">
      <w:pPr>
        <w:spacing w:line="480" w:lineRule="auto"/>
        <w:jc w:val="both"/>
        <w:rPr>
          <w:sz w:val="28"/>
          <w:szCs w:val="28"/>
        </w:rPr>
      </w:pPr>
    </w:p>
    <w:p w:rsidR="00FC7E75" w:rsidRPr="007F1A46" w:rsidRDefault="00FC7E75" w:rsidP="00AF5FE0">
      <w:pPr>
        <w:spacing w:line="480" w:lineRule="auto"/>
        <w:jc w:val="both"/>
        <w:rPr>
          <w:sz w:val="28"/>
          <w:szCs w:val="28"/>
        </w:rPr>
      </w:pPr>
    </w:p>
    <w:p w:rsidR="00295FA0" w:rsidRPr="007F1A46" w:rsidRDefault="00295FA0" w:rsidP="00AF5FE0">
      <w:pPr>
        <w:spacing w:line="480" w:lineRule="auto"/>
        <w:jc w:val="both"/>
        <w:rPr>
          <w:sz w:val="28"/>
          <w:szCs w:val="28"/>
        </w:rPr>
      </w:pPr>
    </w:p>
    <w:p w:rsidR="0040368E" w:rsidRPr="007F1A46" w:rsidRDefault="0040368E" w:rsidP="0040368E">
      <w:pPr>
        <w:spacing w:line="480" w:lineRule="auto"/>
        <w:jc w:val="center"/>
        <w:rPr>
          <w:b/>
          <w:sz w:val="28"/>
          <w:szCs w:val="28"/>
        </w:rPr>
      </w:pPr>
      <w:r w:rsidRPr="007F1A46">
        <w:rPr>
          <w:b/>
          <w:sz w:val="28"/>
          <w:szCs w:val="28"/>
        </w:rPr>
        <w:lastRenderedPageBreak/>
        <w:t>HENRY PETER ADONYO</w:t>
      </w:r>
    </w:p>
    <w:p w:rsidR="0040368E" w:rsidRPr="007F1A46" w:rsidRDefault="0040368E" w:rsidP="0040368E">
      <w:pPr>
        <w:spacing w:line="480" w:lineRule="auto"/>
        <w:jc w:val="center"/>
        <w:rPr>
          <w:b/>
          <w:sz w:val="28"/>
          <w:szCs w:val="28"/>
        </w:rPr>
      </w:pPr>
      <w:r w:rsidRPr="007F1A46">
        <w:rPr>
          <w:b/>
          <w:sz w:val="28"/>
          <w:szCs w:val="28"/>
        </w:rPr>
        <w:t>JUDGE</w:t>
      </w:r>
    </w:p>
    <w:p w:rsidR="00051F41" w:rsidRPr="007F1A46" w:rsidRDefault="0040368E" w:rsidP="003F7181">
      <w:pPr>
        <w:spacing w:line="480" w:lineRule="auto"/>
        <w:jc w:val="center"/>
        <w:rPr>
          <w:sz w:val="28"/>
          <w:szCs w:val="28"/>
        </w:rPr>
      </w:pPr>
      <w:r w:rsidRPr="007F1A46">
        <w:rPr>
          <w:b/>
          <w:sz w:val="28"/>
          <w:szCs w:val="28"/>
        </w:rPr>
        <w:t>8</w:t>
      </w:r>
      <w:r w:rsidRPr="007F1A46">
        <w:rPr>
          <w:b/>
          <w:sz w:val="28"/>
          <w:szCs w:val="28"/>
          <w:vertAlign w:val="superscript"/>
        </w:rPr>
        <w:t>TH</w:t>
      </w:r>
      <w:r w:rsidRPr="007F1A46">
        <w:rPr>
          <w:b/>
          <w:sz w:val="28"/>
          <w:szCs w:val="28"/>
        </w:rPr>
        <w:t xml:space="preserve"> APRIL 2014</w:t>
      </w:r>
    </w:p>
    <w:sectPr w:rsidR="00051F41" w:rsidRPr="007F1A46" w:rsidSect="007D66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70" w:rsidRDefault="006A3770" w:rsidP="00896057">
      <w:r>
        <w:separator/>
      </w:r>
    </w:p>
  </w:endnote>
  <w:endnote w:type="continuationSeparator" w:id="0">
    <w:p w:rsidR="006A3770" w:rsidRDefault="006A3770" w:rsidP="0089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7531"/>
      <w:docPartObj>
        <w:docPartGallery w:val="Page Numbers (Bottom of Page)"/>
        <w:docPartUnique/>
      </w:docPartObj>
    </w:sdtPr>
    <w:sdtEndPr>
      <w:rPr>
        <w:b/>
        <w:i/>
      </w:rPr>
    </w:sdtEndPr>
    <w:sdtContent>
      <w:p w:rsidR="00AE1A8D" w:rsidRPr="00AE1A8D" w:rsidRDefault="00877C40">
        <w:pPr>
          <w:pStyle w:val="Footer"/>
          <w:rPr>
            <w:b/>
            <w:i/>
          </w:rPr>
        </w:pPr>
        <w:r w:rsidRPr="00AE1A8D">
          <w:rPr>
            <w:b/>
            <w:i/>
          </w:rPr>
          <w:fldChar w:fldCharType="begin"/>
        </w:r>
        <w:r w:rsidR="00AE1A8D" w:rsidRPr="00AE1A8D">
          <w:rPr>
            <w:b/>
            <w:i/>
          </w:rPr>
          <w:instrText xml:space="preserve"> PAGE   \* MERGEFORMAT </w:instrText>
        </w:r>
        <w:r w:rsidRPr="00AE1A8D">
          <w:rPr>
            <w:b/>
            <w:i/>
          </w:rPr>
          <w:fldChar w:fldCharType="separate"/>
        </w:r>
        <w:r w:rsidR="007F1A46">
          <w:rPr>
            <w:b/>
            <w:i/>
            <w:noProof/>
          </w:rPr>
          <w:t>1</w:t>
        </w:r>
        <w:r w:rsidRPr="00AE1A8D">
          <w:rPr>
            <w:b/>
            <w:i/>
          </w:rPr>
          <w:fldChar w:fldCharType="end"/>
        </w:r>
        <w:r w:rsidR="00AE1A8D" w:rsidRPr="00AE1A8D">
          <w:rPr>
            <w:b/>
            <w:i/>
          </w:rPr>
          <w:t xml:space="preserve">: Judgment on issues relating to tenant’s chattels claimed to have </w:t>
        </w:r>
        <w:r w:rsidR="00AE1A8D">
          <w:rPr>
            <w:b/>
            <w:i/>
          </w:rPr>
          <w:t xml:space="preserve">reverted </w:t>
        </w:r>
        <w:proofErr w:type="gramStart"/>
        <w:r w:rsidR="00AE1A8D">
          <w:rPr>
            <w:b/>
            <w:i/>
          </w:rPr>
          <w:t xml:space="preserve">to </w:t>
        </w:r>
        <w:r w:rsidR="00AE1A8D" w:rsidRPr="00AE1A8D">
          <w:rPr>
            <w:b/>
            <w:i/>
          </w:rPr>
          <w:t xml:space="preserve"> </w:t>
        </w:r>
        <w:r w:rsidR="00AE1A8D">
          <w:rPr>
            <w:b/>
            <w:i/>
          </w:rPr>
          <w:t>a</w:t>
        </w:r>
        <w:proofErr w:type="gramEnd"/>
        <w:r w:rsidR="00AE1A8D">
          <w:rPr>
            <w:b/>
            <w:i/>
          </w:rPr>
          <w:t xml:space="preserve"> </w:t>
        </w:r>
        <w:r w:rsidR="00AE1A8D" w:rsidRPr="00AE1A8D">
          <w:rPr>
            <w:b/>
            <w:i/>
          </w:rPr>
          <w:t xml:space="preserve"> landlord</w:t>
        </w:r>
        <w:r w:rsidR="009111DE">
          <w:rPr>
            <w:b/>
            <w:i/>
          </w:rPr>
          <w:t xml:space="preserve"> by virtue of certain terms of a tenancy agreement </w:t>
        </w:r>
        <w:r w:rsidR="00AE1A8D" w:rsidRPr="00AE1A8D">
          <w:rPr>
            <w:b/>
            <w:i/>
          </w:rPr>
          <w:t>.Per Hon. Justice Henry Peter Adonyo: April, 2015.</w:t>
        </w:r>
      </w:p>
    </w:sdtContent>
  </w:sdt>
  <w:p w:rsidR="00304B20" w:rsidRPr="00AE1A8D" w:rsidRDefault="00304B20">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70" w:rsidRDefault="006A3770" w:rsidP="00896057">
      <w:r>
        <w:separator/>
      </w:r>
    </w:p>
  </w:footnote>
  <w:footnote w:type="continuationSeparator" w:id="0">
    <w:p w:rsidR="006A3770" w:rsidRDefault="006A3770" w:rsidP="00896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1A2"/>
    <w:multiLevelType w:val="hybridMultilevel"/>
    <w:tmpl w:val="722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257B"/>
    <w:multiLevelType w:val="hybridMultilevel"/>
    <w:tmpl w:val="19204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B5FB1"/>
    <w:multiLevelType w:val="hybridMultilevel"/>
    <w:tmpl w:val="DF26655E"/>
    <w:lvl w:ilvl="0" w:tplc="3AB20846">
      <w:start w:val="1"/>
      <w:numFmt w:val="lowerLetter"/>
      <w:lvlText w:val="%1."/>
      <w:lvlJc w:val="left"/>
      <w:pPr>
        <w:ind w:left="2520" w:hanging="360"/>
      </w:pPr>
      <w:rPr>
        <w:rFonts w:ascii="Bookman Old Style" w:eastAsia="Times New Roman" w:hAnsi="Bookman Old Styl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204E0E"/>
    <w:multiLevelType w:val="hybridMultilevel"/>
    <w:tmpl w:val="7BA861F2"/>
    <w:lvl w:ilvl="0" w:tplc="84B20274">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B002C"/>
    <w:multiLevelType w:val="hybridMultilevel"/>
    <w:tmpl w:val="5FDAB5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479E4"/>
    <w:multiLevelType w:val="multilevel"/>
    <w:tmpl w:val="C83E7F32"/>
    <w:lvl w:ilvl="0">
      <w:start w:val="1"/>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6120" w:hanging="180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920" w:hanging="2160"/>
      </w:pPr>
      <w:rPr>
        <w:rFonts w:hint="default"/>
        <w:sz w:val="28"/>
      </w:rPr>
    </w:lvl>
  </w:abstractNum>
  <w:abstractNum w:abstractNumId="6">
    <w:nsid w:val="3FA155BD"/>
    <w:multiLevelType w:val="hybridMultilevel"/>
    <w:tmpl w:val="72583048"/>
    <w:lvl w:ilvl="0" w:tplc="2E283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73FFF"/>
    <w:multiLevelType w:val="hybridMultilevel"/>
    <w:tmpl w:val="297852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1D2"/>
    <w:multiLevelType w:val="hybridMultilevel"/>
    <w:tmpl w:val="7F90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21459"/>
    <w:multiLevelType w:val="hybridMultilevel"/>
    <w:tmpl w:val="A8EE1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20A39"/>
    <w:multiLevelType w:val="hybridMultilevel"/>
    <w:tmpl w:val="D016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9157C"/>
    <w:multiLevelType w:val="hybridMultilevel"/>
    <w:tmpl w:val="FBB4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10"/>
  </w:num>
  <w:num w:numId="7">
    <w:abstractNumId w:val="3"/>
  </w:num>
  <w:num w:numId="8">
    <w:abstractNumId w:val="8"/>
  </w:num>
  <w:num w:numId="9">
    <w:abstractNumId w:val="11"/>
  </w:num>
  <w:num w:numId="10">
    <w:abstractNumId w:val="7"/>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25874"/>
    <w:rsid w:val="00026DCA"/>
    <w:rsid w:val="00033147"/>
    <w:rsid w:val="00044A57"/>
    <w:rsid w:val="00051F41"/>
    <w:rsid w:val="00063F64"/>
    <w:rsid w:val="00072010"/>
    <w:rsid w:val="000A4243"/>
    <w:rsid w:val="000A4868"/>
    <w:rsid w:val="000A5F84"/>
    <w:rsid w:val="000A71D4"/>
    <w:rsid w:val="000B08DF"/>
    <w:rsid w:val="000C47C0"/>
    <w:rsid w:val="000C65D8"/>
    <w:rsid w:val="000E04F6"/>
    <w:rsid w:val="000F3BE1"/>
    <w:rsid w:val="000F7B11"/>
    <w:rsid w:val="00104F9B"/>
    <w:rsid w:val="00111322"/>
    <w:rsid w:val="0011667A"/>
    <w:rsid w:val="00125874"/>
    <w:rsid w:val="001377E6"/>
    <w:rsid w:val="00145381"/>
    <w:rsid w:val="001561EC"/>
    <w:rsid w:val="00156496"/>
    <w:rsid w:val="0019054C"/>
    <w:rsid w:val="00194FF0"/>
    <w:rsid w:val="001A0F4D"/>
    <w:rsid w:val="001A69BB"/>
    <w:rsid w:val="001D7058"/>
    <w:rsid w:val="001E5752"/>
    <w:rsid w:val="00205247"/>
    <w:rsid w:val="0020604E"/>
    <w:rsid w:val="0020691B"/>
    <w:rsid w:val="002105D0"/>
    <w:rsid w:val="0021544D"/>
    <w:rsid w:val="002164AA"/>
    <w:rsid w:val="002312CE"/>
    <w:rsid w:val="00252F84"/>
    <w:rsid w:val="00267D81"/>
    <w:rsid w:val="00271902"/>
    <w:rsid w:val="00273B6A"/>
    <w:rsid w:val="00280D12"/>
    <w:rsid w:val="00295FA0"/>
    <w:rsid w:val="00304B20"/>
    <w:rsid w:val="00322F12"/>
    <w:rsid w:val="00323F20"/>
    <w:rsid w:val="003341E6"/>
    <w:rsid w:val="00353F6A"/>
    <w:rsid w:val="00354B77"/>
    <w:rsid w:val="00367A12"/>
    <w:rsid w:val="00367C60"/>
    <w:rsid w:val="00374EAF"/>
    <w:rsid w:val="00381501"/>
    <w:rsid w:val="00390A67"/>
    <w:rsid w:val="003B107C"/>
    <w:rsid w:val="003B36AE"/>
    <w:rsid w:val="003C5915"/>
    <w:rsid w:val="003D0B91"/>
    <w:rsid w:val="003D4C78"/>
    <w:rsid w:val="003D793B"/>
    <w:rsid w:val="003F056E"/>
    <w:rsid w:val="003F7181"/>
    <w:rsid w:val="0040251F"/>
    <w:rsid w:val="0040368E"/>
    <w:rsid w:val="00410C46"/>
    <w:rsid w:val="00430E9F"/>
    <w:rsid w:val="004316FA"/>
    <w:rsid w:val="00463799"/>
    <w:rsid w:val="00470A57"/>
    <w:rsid w:val="00487479"/>
    <w:rsid w:val="004944A5"/>
    <w:rsid w:val="004C4D1C"/>
    <w:rsid w:val="004C53F8"/>
    <w:rsid w:val="004D2B37"/>
    <w:rsid w:val="004D5F47"/>
    <w:rsid w:val="004F1BF4"/>
    <w:rsid w:val="004F4F6A"/>
    <w:rsid w:val="004F5155"/>
    <w:rsid w:val="00516CAC"/>
    <w:rsid w:val="005207E0"/>
    <w:rsid w:val="0052179B"/>
    <w:rsid w:val="0053362F"/>
    <w:rsid w:val="005411A0"/>
    <w:rsid w:val="0055735D"/>
    <w:rsid w:val="00566CED"/>
    <w:rsid w:val="00576B5A"/>
    <w:rsid w:val="005846F0"/>
    <w:rsid w:val="005B4FA8"/>
    <w:rsid w:val="005C60C5"/>
    <w:rsid w:val="005E37C1"/>
    <w:rsid w:val="005E449C"/>
    <w:rsid w:val="00600100"/>
    <w:rsid w:val="00602AA2"/>
    <w:rsid w:val="0060316F"/>
    <w:rsid w:val="00621758"/>
    <w:rsid w:val="00623465"/>
    <w:rsid w:val="00624E51"/>
    <w:rsid w:val="00625849"/>
    <w:rsid w:val="00626472"/>
    <w:rsid w:val="0063044A"/>
    <w:rsid w:val="0065242B"/>
    <w:rsid w:val="006658BC"/>
    <w:rsid w:val="00670621"/>
    <w:rsid w:val="00674326"/>
    <w:rsid w:val="006A3770"/>
    <w:rsid w:val="006C27F4"/>
    <w:rsid w:val="006C50E0"/>
    <w:rsid w:val="006E3374"/>
    <w:rsid w:val="006E4F6C"/>
    <w:rsid w:val="0070426B"/>
    <w:rsid w:val="0070562A"/>
    <w:rsid w:val="00707CC5"/>
    <w:rsid w:val="0073660C"/>
    <w:rsid w:val="007428AC"/>
    <w:rsid w:val="00744A23"/>
    <w:rsid w:val="00751AD5"/>
    <w:rsid w:val="00751D5E"/>
    <w:rsid w:val="00775409"/>
    <w:rsid w:val="00777DA0"/>
    <w:rsid w:val="00780E8D"/>
    <w:rsid w:val="007815E8"/>
    <w:rsid w:val="007911F0"/>
    <w:rsid w:val="007B2890"/>
    <w:rsid w:val="007B6288"/>
    <w:rsid w:val="007C0EFB"/>
    <w:rsid w:val="007D668A"/>
    <w:rsid w:val="007F1A46"/>
    <w:rsid w:val="007F393A"/>
    <w:rsid w:val="007F3FB1"/>
    <w:rsid w:val="007F74BA"/>
    <w:rsid w:val="00812347"/>
    <w:rsid w:val="00826D44"/>
    <w:rsid w:val="00830443"/>
    <w:rsid w:val="00877C40"/>
    <w:rsid w:val="00885A52"/>
    <w:rsid w:val="00893CB2"/>
    <w:rsid w:val="008959D4"/>
    <w:rsid w:val="00896057"/>
    <w:rsid w:val="008961B0"/>
    <w:rsid w:val="00896990"/>
    <w:rsid w:val="00897919"/>
    <w:rsid w:val="008A3611"/>
    <w:rsid w:val="008A3C11"/>
    <w:rsid w:val="008B1D63"/>
    <w:rsid w:val="008B3E3F"/>
    <w:rsid w:val="008B449C"/>
    <w:rsid w:val="008B6595"/>
    <w:rsid w:val="008C1976"/>
    <w:rsid w:val="008C3D63"/>
    <w:rsid w:val="008C6149"/>
    <w:rsid w:val="008F7543"/>
    <w:rsid w:val="009049D2"/>
    <w:rsid w:val="009111DE"/>
    <w:rsid w:val="00917FA5"/>
    <w:rsid w:val="00932041"/>
    <w:rsid w:val="009345FE"/>
    <w:rsid w:val="009378D1"/>
    <w:rsid w:val="00967993"/>
    <w:rsid w:val="009706B0"/>
    <w:rsid w:val="009A176C"/>
    <w:rsid w:val="009B3242"/>
    <w:rsid w:val="009C4715"/>
    <w:rsid w:val="009E580E"/>
    <w:rsid w:val="00A078CE"/>
    <w:rsid w:val="00A121F3"/>
    <w:rsid w:val="00A2071E"/>
    <w:rsid w:val="00A26091"/>
    <w:rsid w:val="00A27877"/>
    <w:rsid w:val="00A4533A"/>
    <w:rsid w:val="00A52362"/>
    <w:rsid w:val="00A748FD"/>
    <w:rsid w:val="00A7743C"/>
    <w:rsid w:val="00A8563D"/>
    <w:rsid w:val="00A90190"/>
    <w:rsid w:val="00AA161C"/>
    <w:rsid w:val="00AA5ABE"/>
    <w:rsid w:val="00AC578F"/>
    <w:rsid w:val="00AD520B"/>
    <w:rsid w:val="00AE1A8D"/>
    <w:rsid w:val="00AE2CFE"/>
    <w:rsid w:val="00AF5479"/>
    <w:rsid w:val="00AF5FE0"/>
    <w:rsid w:val="00B16034"/>
    <w:rsid w:val="00B30191"/>
    <w:rsid w:val="00B3498A"/>
    <w:rsid w:val="00B35BAA"/>
    <w:rsid w:val="00B44415"/>
    <w:rsid w:val="00B64AAC"/>
    <w:rsid w:val="00B83033"/>
    <w:rsid w:val="00B91217"/>
    <w:rsid w:val="00BA3AB2"/>
    <w:rsid w:val="00BA54DF"/>
    <w:rsid w:val="00BC1887"/>
    <w:rsid w:val="00BE3458"/>
    <w:rsid w:val="00BE3494"/>
    <w:rsid w:val="00BE7990"/>
    <w:rsid w:val="00BF1624"/>
    <w:rsid w:val="00BF651A"/>
    <w:rsid w:val="00C101F1"/>
    <w:rsid w:val="00C1547B"/>
    <w:rsid w:val="00C33901"/>
    <w:rsid w:val="00C477EA"/>
    <w:rsid w:val="00C62CB5"/>
    <w:rsid w:val="00C74AD7"/>
    <w:rsid w:val="00C75C97"/>
    <w:rsid w:val="00C8255A"/>
    <w:rsid w:val="00C84C37"/>
    <w:rsid w:val="00C85499"/>
    <w:rsid w:val="00C931BB"/>
    <w:rsid w:val="00CA1DEB"/>
    <w:rsid w:val="00CD38AA"/>
    <w:rsid w:val="00CE02B1"/>
    <w:rsid w:val="00D04780"/>
    <w:rsid w:val="00D12878"/>
    <w:rsid w:val="00D13558"/>
    <w:rsid w:val="00D142EE"/>
    <w:rsid w:val="00D754FB"/>
    <w:rsid w:val="00D920AE"/>
    <w:rsid w:val="00D93F42"/>
    <w:rsid w:val="00D96C6D"/>
    <w:rsid w:val="00DB2873"/>
    <w:rsid w:val="00DD1E45"/>
    <w:rsid w:val="00DD3881"/>
    <w:rsid w:val="00DF4BBF"/>
    <w:rsid w:val="00E05045"/>
    <w:rsid w:val="00E14BD5"/>
    <w:rsid w:val="00E23DA4"/>
    <w:rsid w:val="00E279BF"/>
    <w:rsid w:val="00E300D7"/>
    <w:rsid w:val="00E3092D"/>
    <w:rsid w:val="00E30AA3"/>
    <w:rsid w:val="00E329A9"/>
    <w:rsid w:val="00E32BAB"/>
    <w:rsid w:val="00E46A26"/>
    <w:rsid w:val="00E62EED"/>
    <w:rsid w:val="00E64F5C"/>
    <w:rsid w:val="00E976B8"/>
    <w:rsid w:val="00E97B59"/>
    <w:rsid w:val="00EA1513"/>
    <w:rsid w:val="00EB4648"/>
    <w:rsid w:val="00EC68B4"/>
    <w:rsid w:val="00ED3A69"/>
    <w:rsid w:val="00EF14F4"/>
    <w:rsid w:val="00EF2442"/>
    <w:rsid w:val="00F14C40"/>
    <w:rsid w:val="00F179E1"/>
    <w:rsid w:val="00F30EA3"/>
    <w:rsid w:val="00F6149F"/>
    <w:rsid w:val="00F63B14"/>
    <w:rsid w:val="00F6638B"/>
    <w:rsid w:val="00F752D0"/>
    <w:rsid w:val="00FB143B"/>
    <w:rsid w:val="00FC4B25"/>
    <w:rsid w:val="00FC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74"/>
    <w:pPr>
      <w:ind w:left="720"/>
      <w:contextualSpacing/>
    </w:pPr>
  </w:style>
  <w:style w:type="character" w:styleId="Hyperlink">
    <w:name w:val="Hyperlink"/>
    <w:basedOn w:val="DefaultParagraphFont"/>
    <w:uiPriority w:val="99"/>
    <w:unhideWhenUsed/>
    <w:rsid w:val="00194FF0"/>
    <w:rPr>
      <w:color w:val="0000FF" w:themeColor="hyperlink"/>
      <w:u w:val="single"/>
    </w:rPr>
  </w:style>
  <w:style w:type="paragraph" w:styleId="Header">
    <w:name w:val="header"/>
    <w:basedOn w:val="Normal"/>
    <w:link w:val="HeaderChar"/>
    <w:uiPriority w:val="99"/>
    <w:semiHidden/>
    <w:unhideWhenUsed/>
    <w:rsid w:val="00896057"/>
    <w:pPr>
      <w:tabs>
        <w:tab w:val="center" w:pos="4680"/>
        <w:tab w:val="right" w:pos="9360"/>
      </w:tabs>
    </w:pPr>
  </w:style>
  <w:style w:type="character" w:customStyle="1" w:styleId="HeaderChar">
    <w:name w:val="Header Char"/>
    <w:basedOn w:val="DefaultParagraphFont"/>
    <w:link w:val="Header"/>
    <w:uiPriority w:val="99"/>
    <w:semiHidden/>
    <w:rsid w:val="00896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057"/>
    <w:pPr>
      <w:tabs>
        <w:tab w:val="center" w:pos="4680"/>
        <w:tab w:val="right" w:pos="9360"/>
      </w:tabs>
    </w:pPr>
  </w:style>
  <w:style w:type="character" w:customStyle="1" w:styleId="FooterChar">
    <w:name w:val="Footer Char"/>
    <w:basedOn w:val="DefaultParagraphFont"/>
    <w:link w:val="Footer"/>
    <w:uiPriority w:val="99"/>
    <w:rsid w:val="008960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B893-5F8E-4008-BBA5-62D8593F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LRO_1</cp:lastModifiedBy>
  <cp:revision>2</cp:revision>
  <cp:lastPrinted>2015-04-23T12:40:00Z</cp:lastPrinted>
  <dcterms:created xsi:type="dcterms:W3CDTF">2015-05-05T08:47:00Z</dcterms:created>
  <dcterms:modified xsi:type="dcterms:W3CDTF">2015-05-05T08:47:00Z</dcterms:modified>
</cp:coreProperties>
</file>