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EEBD" w14:textId="77777777" w:rsidR="00EA2E86" w:rsidRPr="00951E8F" w:rsidRDefault="001A741D" w:rsidP="005B3A4D">
      <w:pPr>
        <w:spacing w:line="276" w:lineRule="auto"/>
        <w:contextualSpacing/>
        <w:jc w:val="center"/>
        <w:rPr>
          <w:rFonts w:ascii="Times New Roman" w:hAnsi="Times New Roman"/>
          <w:b/>
        </w:rPr>
      </w:pPr>
      <w:bookmarkStart w:id="0" w:name="_GoBack"/>
      <w:bookmarkEnd w:id="0"/>
      <w:r w:rsidRPr="00951E8F">
        <w:rPr>
          <w:rFonts w:ascii="Times New Roman" w:hAnsi="Times New Roman"/>
          <w:b/>
        </w:rPr>
        <w:t>THE REPUBLIC OF UGANDA</w:t>
      </w:r>
    </w:p>
    <w:p w14:paraId="10769ADC" w14:textId="77777777" w:rsidR="001A741D" w:rsidRPr="00951E8F" w:rsidRDefault="001A741D" w:rsidP="005B3A4D">
      <w:pPr>
        <w:spacing w:line="276" w:lineRule="auto"/>
        <w:contextualSpacing/>
        <w:jc w:val="center"/>
        <w:rPr>
          <w:rFonts w:ascii="Times New Roman" w:hAnsi="Times New Roman"/>
          <w:b/>
        </w:rPr>
      </w:pPr>
    </w:p>
    <w:p w14:paraId="311FA75D" w14:textId="77777777" w:rsidR="001A741D" w:rsidRPr="00951E8F" w:rsidRDefault="001A741D" w:rsidP="005B3A4D">
      <w:pPr>
        <w:spacing w:line="276" w:lineRule="auto"/>
        <w:contextualSpacing/>
        <w:jc w:val="center"/>
        <w:rPr>
          <w:rFonts w:ascii="Times New Roman" w:hAnsi="Times New Roman"/>
          <w:b/>
        </w:rPr>
      </w:pPr>
      <w:r w:rsidRPr="00951E8F">
        <w:rPr>
          <w:rFonts w:ascii="Times New Roman" w:hAnsi="Times New Roman"/>
          <w:b/>
        </w:rPr>
        <w:t>THE CENTRE FOR ARBITRATION AND DISPUTE RESOLUTION</w:t>
      </w:r>
    </w:p>
    <w:p w14:paraId="26647287" w14:textId="77777777" w:rsidR="001A741D" w:rsidRPr="00951E8F" w:rsidRDefault="001A741D" w:rsidP="005B3A4D">
      <w:pPr>
        <w:spacing w:line="276" w:lineRule="auto"/>
        <w:contextualSpacing/>
        <w:jc w:val="center"/>
        <w:rPr>
          <w:rFonts w:ascii="Times New Roman" w:hAnsi="Times New Roman"/>
          <w:b/>
        </w:rPr>
      </w:pPr>
      <w:r w:rsidRPr="00951E8F">
        <w:rPr>
          <w:rFonts w:ascii="Times New Roman" w:hAnsi="Times New Roman"/>
          <w:b/>
        </w:rPr>
        <w:t>[CADER]</w:t>
      </w:r>
    </w:p>
    <w:p w14:paraId="768A736A" w14:textId="77777777" w:rsidR="00E72667" w:rsidRPr="00951E8F" w:rsidRDefault="00E72667" w:rsidP="005B3A4D">
      <w:pPr>
        <w:spacing w:line="276" w:lineRule="auto"/>
        <w:contextualSpacing/>
        <w:jc w:val="center"/>
        <w:rPr>
          <w:rFonts w:ascii="Times New Roman" w:hAnsi="Times New Roman"/>
          <w:b/>
        </w:rPr>
      </w:pPr>
    </w:p>
    <w:p w14:paraId="387AA990" w14:textId="77777777" w:rsidR="00E72667" w:rsidRPr="00951E8F" w:rsidRDefault="00E72667" w:rsidP="005B3A4D">
      <w:pPr>
        <w:spacing w:line="276" w:lineRule="auto"/>
        <w:contextualSpacing/>
        <w:jc w:val="center"/>
        <w:rPr>
          <w:rFonts w:ascii="Times New Roman" w:hAnsi="Times New Roman"/>
          <w:b/>
        </w:rPr>
      </w:pPr>
      <w:r w:rsidRPr="00951E8F">
        <w:rPr>
          <w:rFonts w:ascii="Times New Roman" w:hAnsi="Times New Roman"/>
          <w:b/>
        </w:rPr>
        <w:t>CAD/ARB/004/2018</w:t>
      </w:r>
    </w:p>
    <w:p w14:paraId="54C7BD1F" w14:textId="77777777" w:rsidR="001A741D" w:rsidRPr="00951E8F" w:rsidRDefault="001A741D" w:rsidP="005B3A4D">
      <w:pPr>
        <w:spacing w:line="276" w:lineRule="auto"/>
        <w:contextualSpacing/>
        <w:jc w:val="center"/>
        <w:rPr>
          <w:rFonts w:ascii="Times New Roman" w:hAnsi="Times New Roman"/>
          <w:b/>
        </w:rPr>
      </w:pPr>
    </w:p>
    <w:p w14:paraId="0DAF36DD" w14:textId="77777777" w:rsidR="001A741D" w:rsidRPr="00951E8F" w:rsidRDefault="001A741D" w:rsidP="005B3A4D">
      <w:pPr>
        <w:spacing w:line="276" w:lineRule="auto"/>
        <w:contextualSpacing/>
        <w:jc w:val="center"/>
        <w:rPr>
          <w:rFonts w:ascii="Times New Roman" w:hAnsi="Times New Roman"/>
          <w:b/>
        </w:rPr>
      </w:pPr>
      <w:r w:rsidRPr="00951E8F">
        <w:rPr>
          <w:rFonts w:ascii="Times New Roman" w:hAnsi="Times New Roman"/>
          <w:b/>
        </w:rPr>
        <w:t>PILE CORPORATION LIMITED</w:t>
      </w:r>
      <w:r w:rsidR="002F6BE3" w:rsidRPr="00951E8F">
        <w:rPr>
          <w:rFonts w:ascii="Times New Roman" w:hAnsi="Times New Roman"/>
          <w:b/>
        </w:rPr>
        <w:t xml:space="preserve"> ---------------------</w:t>
      </w:r>
      <w:r w:rsidRPr="00951E8F">
        <w:rPr>
          <w:rFonts w:ascii="Times New Roman" w:hAnsi="Times New Roman"/>
          <w:b/>
        </w:rPr>
        <w:t xml:space="preserve"> APPLICANT</w:t>
      </w:r>
    </w:p>
    <w:p w14:paraId="15D885A5" w14:textId="77777777" w:rsidR="001A741D" w:rsidRPr="00951E8F" w:rsidRDefault="001A741D" w:rsidP="005B3A4D">
      <w:pPr>
        <w:spacing w:line="276" w:lineRule="auto"/>
        <w:contextualSpacing/>
        <w:jc w:val="center"/>
        <w:rPr>
          <w:rFonts w:ascii="Times New Roman" w:hAnsi="Times New Roman"/>
          <w:b/>
        </w:rPr>
      </w:pPr>
    </w:p>
    <w:p w14:paraId="2E8BB7C0" w14:textId="77777777" w:rsidR="001A741D" w:rsidRPr="00951E8F" w:rsidRDefault="001A741D" w:rsidP="005B3A4D">
      <w:pPr>
        <w:spacing w:line="276" w:lineRule="auto"/>
        <w:contextualSpacing/>
        <w:jc w:val="center"/>
        <w:rPr>
          <w:rFonts w:ascii="Times New Roman" w:hAnsi="Times New Roman"/>
          <w:b/>
        </w:rPr>
      </w:pPr>
      <w:r w:rsidRPr="00951E8F">
        <w:rPr>
          <w:rFonts w:ascii="Times New Roman" w:hAnsi="Times New Roman"/>
          <w:b/>
        </w:rPr>
        <w:t>VERSUS</w:t>
      </w:r>
    </w:p>
    <w:p w14:paraId="41150C0E" w14:textId="77777777" w:rsidR="001A741D" w:rsidRPr="00951E8F" w:rsidRDefault="001A741D" w:rsidP="005B3A4D">
      <w:pPr>
        <w:spacing w:line="276" w:lineRule="auto"/>
        <w:contextualSpacing/>
        <w:jc w:val="center"/>
        <w:rPr>
          <w:rFonts w:ascii="Times New Roman" w:hAnsi="Times New Roman"/>
          <w:b/>
        </w:rPr>
      </w:pPr>
    </w:p>
    <w:p w14:paraId="5F7C3D9D" w14:textId="77777777" w:rsidR="002F6BE3" w:rsidRPr="00951E8F" w:rsidRDefault="002F6BE3" w:rsidP="002F6BE3">
      <w:pPr>
        <w:spacing w:line="276" w:lineRule="auto"/>
        <w:contextualSpacing/>
        <w:rPr>
          <w:rFonts w:ascii="Times New Roman" w:hAnsi="Times New Roman"/>
          <w:b/>
        </w:rPr>
      </w:pPr>
      <w:r w:rsidRPr="00951E8F">
        <w:rPr>
          <w:rFonts w:ascii="Times New Roman" w:hAnsi="Times New Roman"/>
          <w:b/>
        </w:rPr>
        <w:t>T</w:t>
      </w:r>
      <w:r w:rsidR="005B3A4D" w:rsidRPr="00951E8F">
        <w:rPr>
          <w:rFonts w:ascii="Times New Roman" w:hAnsi="Times New Roman"/>
          <w:b/>
        </w:rPr>
        <w:t xml:space="preserve">WED PROPERTY </w:t>
      </w:r>
    </w:p>
    <w:p w14:paraId="3C54A9A5" w14:textId="77777777" w:rsidR="001A741D" w:rsidRPr="00951E8F" w:rsidRDefault="005B3A4D" w:rsidP="002F6BE3">
      <w:pPr>
        <w:spacing w:line="276" w:lineRule="auto"/>
        <w:contextualSpacing/>
        <w:rPr>
          <w:rFonts w:ascii="Times New Roman" w:hAnsi="Times New Roman"/>
          <w:b/>
        </w:rPr>
      </w:pPr>
      <w:r w:rsidRPr="00951E8F">
        <w:rPr>
          <w:rFonts w:ascii="Times New Roman" w:hAnsi="Times New Roman"/>
          <w:b/>
        </w:rPr>
        <w:t>DEVELOPMEN</w:t>
      </w:r>
      <w:r w:rsidR="001A741D" w:rsidRPr="00951E8F">
        <w:rPr>
          <w:rFonts w:ascii="Times New Roman" w:hAnsi="Times New Roman"/>
          <w:b/>
        </w:rPr>
        <w:t xml:space="preserve">T LTD </w:t>
      </w:r>
      <w:r w:rsidR="002F6BE3" w:rsidRPr="00951E8F">
        <w:rPr>
          <w:rFonts w:ascii="Times New Roman" w:hAnsi="Times New Roman"/>
          <w:b/>
        </w:rPr>
        <w:t>---------------------------------</w:t>
      </w:r>
      <w:r w:rsidR="001A741D" w:rsidRPr="00951E8F">
        <w:rPr>
          <w:rFonts w:ascii="Times New Roman" w:hAnsi="Times New Roman"/>
          <w:b/>
        </w:rPr>
        <w:t xml:space="preserve"> RESPONDENT</w:t>
      </w:r>
    </w:p>
    <w:p w14:paraId="16FCF137" w14:textId="77777777" w:rsidR="001A741D" w:rsidRPr="00951E8F" w:rsidRDefault="001A741D" w:rsidP="005B3A4D">
      <w:pPr>
        <w:spacing w:line="276" w:lineRule="auto"/>
        <w:contextualSpacing/>
        <w:jc w:val="both"/>
        <w:rPr>
          <w:rFonts w:ascii="Times New Roman" w:hAnsi="Times New Roman"/>
          <w:b/>
        </w:rPr>
      </w:pPr>
    </w:p>
    <w:p w14:paraId="00BE8F65" w14:textId="77777777" w:rsidR="007E4611" w:rsidRPr="00951E8F" w:rsidRDefault="007E4611" w:rsidP="005B3A4D">
      <w:pPr>
        <w:spacing w:line="276" w:lineRule="auto"/>
        <w:contextualSpacing/>
        <w:jc w:val="both"/>
        <w:rPr>
          <w:rFonts w:ascii="Times New Roman" w:hAnsi="Times New Roman"/>
          <w:b/>
        </w:rPr>
      </w:pPr>
    </w:p>
    <w:p w14:paraId="298FC2F3" w14:textId="77777777" w:rsidR="007E4611" w:rsidRPr="00951E8F" w:rsidRDefault="007E4611" w:rsidP="005B3A4D">
      <w:pPr>
        <w:spacing w:line="276" w:lineRule="auto"/>
        <w:contextualSpacing/>
        <w:jc w:val="both"/>
        <w:rPr>
          <w:rFonts w:ascii="Times New Roman" w:hAnsi="Times New Roman"/>
          <w:b/>
        </w:rPr>
      </w:pPr>
      <w:r w:rsidRPr="00951E8F">
        <w:rPr>
          <w:rFonts w:ascii="Times New Roman" w:hAnsi="Times New Roman"/>
          <w:b/>
        </w:rPr>
        <w:t>REPRESENTATION</w:t>
      </w:r>
    </w:p>
    <w:p w14:paraId="0B36B308" w14:textId="77777777" w:rsidR="00321FA2" w:rsidRPr="00951E8F" w:rsidRDefault="007E4611" w:rsidP="005B3A4D">
      <w:pPr>
        <w:spacing w:line="276" w:lineRule="auto"/>
        <w:contextualSpacing/>
        <w:jc w:val="both"/>
        <w:rPr>
          <w:rFonts w:ascii="Times New Roman" w:hAnsi="Times New Roman"/>
        </w:rPr>
      </w:pPr>
      <w:r w:rsidRPr="00951E8F">
        <w:rPr>
          <w:rFonts w:ascii="Times New Roman" w:hAnsi="Times New Roman"/>
        </w:rPr>
        <w:t xml:space="preserve">Applicant </w:t>
      </w:r>
      <w:r w:rsidRPr="00951E8F">
        <w:rPr>
          <w:rFonts w:ascii="Times New Roman" w:hAnsi="Times New Roman"/>
        </w:rPr>
        <w:tab/>
      </w:r>
      <w:r w:rsidR="00321FA2" w:rsidRPr="00951E8F">
        <w:rPr>
          <w:rFonts w:ascii="Times New Roman" w:hAnsi="Times New Roman"/>
        </w:rPr>
        <w:tab/>
      </w:r>
      <w:r w:rsidR="00F52BDC" w:rsidRPr="00951E8F">
        <w:rPr>
          <w:rFonts w:ascii="Times New Roman" w:hAnsi="Times New Roman"/>
        </w:rPr>
        <w:tab/>
      </w:r>
      <w:r w:rsidR="00F52BDC" w:rsidRPr="00951E8F">
        <w:rPr>
          <w:rFonts w:ascii="Times New Roman" w:hAnsi="Times New Roman"/>
        </w:rPr>
        <w:tab/>
      </w:r>
      <w:r w:rsidR="00F52BDC" w:rsidRPr="00951E8F">
        <w:rPr>
          <w:rFonts w:ascii="Times New Roman" w:hAnsi="Times New Roman"/>
        </w:rPr>
        <w:tab/>
      </w:r>
      <w:r w:rsidR="00F52BDC" w:rsidRPr="00951E8F">
        <w:rPr>
          <w:rFonts w:ascii="Times New Roman" w:hAnsi="Times New Roman"/>
        </w:rPr>
        <w:tab/>
        <w:t>Respondent</w:t>
      </w:r>
    </w:p>
    <w:p w14:paraId="4C7EF536" w14:textId="77777777" w:rsidR="00321FA2" w:rsidRPr="00951E8F" w:rsidRDefault="007E4611" w:rsidP="005B3A4D">
      <w:pPr>
        <w:spacing w:line="276" w:lineRule="auto"/>
        <w:contextualSpacing/>
        <w:jc w:val="both"/>
        <w:rPr>
          <w:rFonts w:ascii="Times New Roman" w:hAnsi="Times New Roman"/>
        </w:rPr>
      </w:pPr>
      <w:r w:rsidRPr="00951E8F">
        <w:rPr>
          <w:rFonts w:ascii="Times New Roman" w:hAnsi="Times New Roman"/>
        </w:rPr>
        <w:t xml:space="preserve">Mr. </w:t>
      </w:r>
      <w:proofErr w:type="spellStart"/>
      <w:r w:rsidRPr="00951E8F">
        <w:rPr>
          <w:rFonts w:ascii="Times New Roman" w:hAnsi="Times New Roman"/>
        </w:rPr>
        <w:t>Galisonga</w:t>
      </w:r>
      <w:proofErr w:type="spellEnd"/>
      <w:r w:rsidRPr="00951E8F">
        <w:rPr>
          <w:rFonts w:ascii="Times New Roman" w:hAnsi="Times New Roman"/>
        </w:rPr>
        <w:t xml:space="preserve"> Julius</w:t>
      </w:r>
      <w:r w:rsidR="00F52BDC" w:rsidRPr="00951E8F">
        <w:rPr>
          <w:rFonts w:ascii="Times New Roman" w:hAnsi="Times New Roman"/>
        </w:rPr>
        <w:tab/>
      </w:r>
      <w:r w:rsidR="00F52BDC" w:rsidRPr="00951E8F">
        <w:rPr>
          <w:rFonts w:ascii="Times New Roman" w:hAnsi="Times New Roman"/>
        </w:rPr>
        <w:tab/>
      </w:r>
      <w:r w:rsidR="00F52BDC" w:rsidRPr="00951E8F">
        <w:rPr>
          <w:rFonts w:ascii="Times New Roman" w:hAnsi="Times New Roman"/>
        </w:rPr>
        <w:tab/>
      </w:r>
      <w:r w:rsidR="00F52BDC" w:rsidRPr="00951E8F">
        <w:rPr>
          <w:rFonts w:ascii="Times New Roman" w:hAnsi="Times New Roman"/>
        </w:rPr>
        <w:tab/>
        <w:t xml:space="preserve"> Mr. Jude </w:t>
      </w:r>
      <w:proofErr w:type="spellStart"/>
      <w:r w:rsidR="00F52BDC" w:rsidRPr="00951E8F">
        <w:rPr>
          <w:rFonts w:ascii="Times New Roman" w:hAnsi="Times New Roman"/>
        </w:rPr>
        <w:t>Byamukama</w:t>
      </w:r>
      <w:proofErr w:type="spellEnd"/>
    </w:p>
    <w:p w14:paraId="3D91FCC2" w14:textId="77777777" w:rsidR="00F52BDC" w:rsidRPr="00951E8F" w:rsidRDefault="00321FA2" w:rsidP="00F52BDC">
      <w:pPr>
        <w:spacing w:line="276" w:lineRule="auto"/>
        <w:contextualSpacing/>
        <w:jc w:val="both"/>
        <w:rPr>
          <w:rFonts w:ascii="Times New Roman" w:hAnsi="Times New Roman"/>
        </w:rPr>
      </w:pPr>
      <w:proofErr w:type="spellStart"/>
      <w:proofErr w:type="gramStart"/>
      <w:r w:rsidRPr="00951E8F">
        <w:rPr>
          <w:rFonts w:ascii="Times New Roman" w:hAnsi="Times New Roman"/>
        </w:rPr>
        <w:t>Galisonga</w:t>
      </w:r>
      <w:proofErr w:type="spellEnd"/>
      <w:r w:rsidRPr="00951E8F">
        <w:rPr>
          <w:rFonts w:ascii="Times New Roman" w:hAnsi="Times New Roman"/>
        </w:rPr>
        <w:t xml:space="preserve"> &amp; Co. Advocates.</w:t>
      </w:r>
      <w:proofErr w:type="gramEnd"/>
      <w:r w:rsidR="007E4611" w:rsidRPr="00951E8F">
        <w:rPr>
          <w:rFonts w:ascii="Times New Roman" w:hAnsi="Times New Roman"/>
        </w:rPr>
        <w:t xml:space="preserve"> </w:t>
      </w:r>
      <w:r w:rsidR="00F52BDC" w:rsidRPr="00951E8F">
        <w:rPr>
          <w:rFonts w:ascii="Times New Roman" w:hAnsi="Times New Roman"/>
        </w:rPr>
        <w:tab/>
      </w:r>
      <w:r w:rsidR="00F52BDC" w:rsidRPr="00951E8F">
        <w:rPr>
          <w:rFonts w:ascii="Times New Roman" w:hAnsi="Times New Roman"/>
        </w:rPr>
        <w:tab/>
      </w:r>
      <w:r w:rsidR="00F52BDC" w:rsidRPr="00951E8F">
        <w:rPr>
          <w:rFonts w:ascii="Times New Roman" w:hAnsi="Times New Roman"/>
        </w:rPr>
        <w:tab/>
      </w:r>
      <w:proofErr w:type="gramStart"/>
      <w:r w:rsidR="00F52BDC" w:rsidRPr="00951E8F">
        <w:rPr>
          <w:rFonts w:ascii="Times New Roman" w:hAnsi="Times New Roman"/>
        </w:rPr>
        <w:t>BNB Advocates.</w:t>
      </w:r>
      <w:proofErr w:type="gramEnd"/>
    </w:p>
    <w:p w14:paraId="249A826F" w14:textId="77777777" w:rsidR="001A741D" w:rsidRPr="00951E8F" w:rsidRDefault="001A741D" w:rsidP="005B3A4D">
      <w:pPr>
        <w:spacing w:line="276" w:lineRule="auto"/>
        <w:contextualSpacing/>
        <w:jc w:val="both"/>
        <w:rPr>
          <w:rFonts w:ascii="Times New Roman" w:hAnsi="Times New Roman"/>
          <w:b/>
        </w:rPr>
      </w:pPr>
    </w:p>
    <w:p w14:paraId="568A9BA3" w14:textId="77777777" w:rsidR="001A741D" w:rsidRPr="00951E8F" w:rsidRDefault="001A741D" w:rsidP="005B3A4D">
      <w:pPr>
        <w:spacing w:line="276" w:lineRule="auto"/>
        <w:contextualSpacing/>
        <w:jc w:val="center"/>
        <w:rPr>
          <w:rFonts w:ascii="Times New Roman" w:hAnsi="Times New Roman"/>
          <w:b/>
          <w:u w:val="thick"/>
        </w:rPr>
      </w:pPr>
      <w:r w:rsidRPr="00951E8F">
        <w:rPr>
          <w:rFonts w:ascii="Times New Roman" w:hAnsi="Times New Roman"/>
          <w:b/>
          <w:u w:val="thick"/>
        </w:rPr>
        <w:t>RULING</w:t>
      </w:r>
    </w:p>
    <w:p w14:paraId="1E81A8B7" w14:textId="77777777" w:rsidR="007E4611" w:rsidRPr="00951E8F" w:rsidRDefault="007E4611" w:rsidP="005B3A4D">
      <w:pPr>
        <w:spacing w:line="276" w:lineRule="auto"/>
        <w:contextualSpacing/>
        <w:jc w:val="both"/>
        <w:rPr>
          <w:rFonts w:ascii="Times New Roman" w:hAnsi="Times New Roman"/>
          <w:b/>
        </w:rPr>
      </w:pPr>
    </w:p>
    <w:p w14:paraId="6F32288E" w14:textId="77777777" w:rsidR="00D8330B" w:rsidRPr="00951E8F" w:rsidRDefault="00D8330B" w:rsidP="005B3A4D">
      <w:pPr>
        <w:spacing w:line="276" w:lineRule="auto"/>
        <w:contextualSpacing/>
        <w:jc w:val="both"/>
        <w:rPr>
          <w:rFonts w:ascii="Times New Roman" w:hAnsi="Times New Roman"/>
        </w:rPr>
      </w:pPr>
      <w:r w:rsidRPr="00951E8F">
        <w:rPr>
          <w:rFonts w:ascii="Times New Roman" w:hAnsi="Times New Roman"/>
        </w:rPr>
        <w:t xml:space="preserve">The </w:t>
      </w:r>
      <w:r w:rsidR="0024267F" w:rsidRPr="00951E8F">
        <w:rPr>
          <w:rFonts w:ascii="Times New Roman" w:hAnsi="Times New Roman"/>
        </w:rPr>
        <w:t>dispute between the parties relates to interpretation of the arbitration Clause 10 in the suit Agreement concluded on 7th July 2017.</w:t>
      </w:r>
    </w:p>
    <w:p w14:paraId="724AB2A3" w14:textId="77777777" w:rsidR="00FB1E88" w:rsidRPr="00951E8F" w:rsidRDefault="00FB1E88" w:rsidP="005B3A4D">
      <w:pPr>
        <w:spacing w:line="276" w:lineRule="auto"/>
        <w:contextualSpacing/>
        <w:jc w:val="both"/>
        <w:rPr>
          <w:rFonts w:ascii="Times New Roman" w:hAnsi="Times New Roman"/>
        </w:rPr>
      </w:pPr>
    </w:p>
    <w:p w14:paraId="36B41C83" w14:textId="77777777" w:rsidR="00FB1E88" w:rsidRPr="00951E8F" w:rsidRDefault="00FB1E88" w:rsidP="005B3A4D">
      <w:pPr>
        <w:spacing w:line="276" w:lineRule="auto"/>
        <w:contextualSpacing/>
        <w:jc w:val="both"/>
        <w:rPr>
          <w:rFonts w:ascii="Times New Roman" w:hAnsi="Times New Roman"/>
        </w:rPr>
      </w:pPr>
      <w:r w:rsidRPr="00951E8F">
        <w:rPr>
          <w:rFonts w:ascii="Times New Roman" w:hAnsi="Times New Roman"/>
        </w:rPr>
        <w:t>The clause states “</w:t>
      </w:r>
      <w:r w:rsidRPr="00951E8F">
        <w:rPr>
          <w:rFonts w:ascii="Times New Roman" w:hAnsi="Times New Roman"/>
          <w:b/>
          <w:i/>
        </w:rPr>
        <w:t>Any dispute arising out of this Agreement shall be settled by arbitration and in case of failure of the arbitration shall be referred to courts of law</w:t>
      </w:r>
      <w:r w:rsidRPr="00951E8F">
        <w:rPr>
          <w:rFonts w:ascii="Times New Roman" w:hAnsi="Times New Roman"/>
        </w:rPr>
        <w:t>”.</w:t>
      </w:r>
    </w:p>
    <w:p w14:paraId="36B6ACD3" w14:textId="77777777" w:rsidR="00FB1E88" w:rsidRPr="00951E8F" w:rsidRDefault="00FB1E88" w:rsidP="005B3A4D">
      <w:pPr>
        <w:spacing w:line="276" w:lineRule="auto"/>
        <w:contextualSpacing/>
        <w:jc w:val="both"/>
        <w:rPr>
          <w:rFonts w:ascii="Times New Roman" w:hAnsi="Times New Roman"/>
        </w:rPr>
      </w:pPr>
    </w:p>
    <w:p w14:paraId="1910EF53" w14:textId="77777777" w:rsidR="00FB1E88" w:rsidRPr="00951E8F" w:rsidRDefault="00F93CEF" w:rsidP="005B3A4D">
      <w:pPr>
        <w:spacing w:line="276" w:lineRule="auto"/>
        <w:contextualSpacing/>
        <w:jc w:val="both"/>
        <w:rPr>
          <w:rFonts w:ascii="Times New Roman" w:hAnsi="Times New Roman"/>
        </w:rPr>
      </w:pPr>
      <w:r w:rsidRPr="00951E8F">
        <w:rPr>
          <w:rFonts w:ascii="Times New Roman" w:hAnsi="Times New Roman"/>
        </w:rPr>
        <w:t>The Application is premised on the fact that the Respondent ignored the Applicant’s notice of breach and later on the notice of nomination of arbitrators.</w:t>
      </w:r>
    </w:p>
    <w:p w14:paraId="39BA005F" w14:textId="77777777" w:rsidR="00792B33" w:rsidRPr="00951E8F" w:rsidRDefault="00792B33" w:rsidP="005B3A4D">
      <w:pPr>
        <w:spacing w:line="276" w:lineRule="auto"/>
        <w:contextualSpacing/>
        <w:jc w:val="both"/>
        <w:rPr>
          <w:rFonts w:ascii="Times New Roman" w:hAnsi="Times New Roman"/>
        </w:rPr>
      </w:pPr>
    </w:p>
    <w:p w14:paraId="2FACFF59" w14:textId="77777777" w:rsidR="00792B33" w:rsidRPr="00951E8F" w:rsidRDefault="00792B33" w:rsidP="005B3A4D">
      <w:pPr>
        <w:spacing w:line="276" w:lineRule="auto"/>
        <w:contextualSpacing/>
        <w:jc w:val="both"/>
        <w:rPr>
          <w:rFonts w:ascii="Times New Roman" w:hAnsi="Times New Roman"/>
        </w:rPr>
      </w:pPr>
      <w:r w:rsidRPr="00951E8F">
        <w:rPr>
          <w:rFonts w:ascii="Times New Roman" w:hAnsi="Times New Roman"/>
        </w:rPr>
        <w:t xml:space="preserve">The Applicant’s </w:t>
      </w:r>
      <w:r w:rsidRPr="00951E8F">
        <w:rPr>
          <w:rFonts w:ascii="Times New Roman" w:hAnsi="Times New Roman"/>
          <w:b/>
        </w:rPr>
        <w:t xml:space="preserve">Annex C </w:t>
      </w:r>
      <w:r w:rsidRPr="00951E8F">
        <w:rPr>
          <w:rFonts w:ascii="Times New Roman" w:hAnsi="Times New Roman"/>
        </w:rPr>
        <w:t>notice letter stated as follows,</w:t>
      </w:r>
    </w:p>
    <w:p w14:paraId="1ACCD413" w14:textId="77777777" w:rsidR="00792B33" w:rsidRPr="00951E8F" w:rsidRDefault="00792B33" w:rsidP="005B3A4D">
      <w:pPr>
        <w:spacing w:line="276" w:lineRule="auto"/>
        <w:contextualSpacing/>
        <w:jc w:val="both"/>
        <w:rPr>
          <w:rFonts w:ascii="Times New Roman" w:hAnsi="Times New Roman"/>
        </w:rPr>
      </w:pPr>
    </w:p>
    <w:p w14:paraId="3EF08F1B"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rPr>
        <w:t>“</w:t>
      </w:r>
      <w:r w:rsidRPr="00951E8F">
        <w:rPr>
          <w:rFonts w:ascii="Times New Roman" w:hAnsi="Times New Roman"/>
          <w:i/>
        </w:rPr>
        <w:t>The Managing Director,</w:t>
      </w:r>
    </w:p>
    <w:p w14:paraId="2DAECD1C" w14:textId="77777777" w:rsidR="00792B33" w:rsidRPr="00951E8F" w:rsidRDefault="00792B33" w:rsidP="005B3A4D">
      <w:pPr>
        <w:spacing w:line="276" w:lineRule="auto"/>
        <w:ind w:left="2160"/>
        <w:contextualSpacing/>
        <w:jc w:val="both"/>
        <w:rPr>
          <w:rFonts w:ascii="Times New Roman" w:hAnsi="Times New Roman"/>
          <w:i/>
        </w:rPr>
      </w:pPr>
      <w:proofErr w:type="spellStart"/>
      <w:r w:rsidRPr="00951E8F">
        <w:rPr>
          <w:rFonts w:ascii="Times New Roman" w:hAnsi="Times New Roman"/>
          <w:i/>
        </w:rPr>
        <w:t>Twed</w:t>
      </w:r>
      <w:proofErr w:type="spellEnd"/>
      <w:r w:rsidRPr="00951E8F">
        <w:rPr>
          <w:rFonts w:ascii="Times New Roman" w:hAnsi="Times New Roman"/>
          <w:i/>
        </w:rPr>
        <w:t xml:space="preserve"> Property Developments Ltd</w:t>
      </w:r>
    </w:p>
    <w:p w14:paraId="25FF7DE5"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P.O. Box 10963,</w:t>
      </w:r>
    </w:p>
    <w:p w14:paraId="558D820C"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Kampala.</w:t>
      </w:r>
    </w:p>
    <w:p w14:paraId="30C2E79E" w14:textId="77777777" w:rsidR="00792B33" w:rsidRPr="00951E8F" w:rsidRDefault="00792B33" w:rsidP="005B3A4D">
      <w:pPr>
        <w:spacing w:line="276" w:lineRule="auto"/>
        <w:ind w:left="2160"/>
        <w:contextualSpacing/>
        <w:jc w:val="both"/>
        <w:rPr>
          <w:rFonts w:ascii="Times New Roman" w:hAnsi="Times New Roman"/>
          <w:i/>
        </w:rPr>
      </w:pPr>
    </w:p>
    <w:p w14:paraId="403C6965"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Dear Sir,</w:t>
      </w:r>
    </w:p>
    <w:p w14:paraId="68A42F17" w14:textId="77777777" w:rsidR="00792B33" w:rsidRPr="00951E8F" w:rsidRDefault="00792B33" w:rsidP="005B3A4D">
      <w:pPr>
        <w:spacing w:line="276" w:lineRule="auto"/>
        <w:ind w:left="2160"/>
        <w:contextualSpacing/>
        <w:jc w:val="both"/>
        <w:rPr>
          <w:rFonts w:ascii="Times New Roman" w:hAnsi="Times New Roman"/>
          <w:i/>
        </w:rPr>
      </w:pPr>
    </w:p>
    <w:p w14:paraId="7DAF78AB" w14:textId="77777777" w:rsidR="00792B33" w:rsidRPr="00951E8F" w:rsidRDefault="00792B33" w:rsidP="005B3A4D">
      <w:pPr>
        <w:spacing w:line="276" w:lineRule="auto"/>
        <w:ind w:left="2160"/>
        <w:contextualSpacing/>
        <w:jc w:val="both"/>
        <w:rPr>
          <w:rFonts w:ascii="Times New Roman" w:hAnsi="Times New Roman"/>
          <w:b/>
          <w:i/>
        </w:rPr>
      </w:pPr>
      <w:r w:rsidRPr="00951E8F">
        <w:rPr>
          <w:rFonts w:ascii="Times New Roman" w:hAnsi="Times New Roman"/>
          <w:b/>
          <w:i/>
        </w:rPr>
        <w:t>RE: NOMINATION OF MEDIATORS</w:t>
      </w:r>
    </w:p>
    <w:p w14:paraId="4FB526DD" w14:textId="77777777" w:rsidR="00792B33" w:rsidRPr="00951E8F" w:rsidRDefault="00792B33" w:rsidP="005B3A4D">
      <w:pPr>
        <w:spacing w:line="276" w:lineRule="auto"/>
        <w:ind w:left="2160"/>
        <w:contextualSpacing/>
        <w:jc w:val="both"/>
        <w:rPr>
          <w:rFonts w:ascii="Times New Roman" w:hAnsi="Times New Roman"/>
          <w:i/>
        </w:rPr>
      </w:pPr>
    </w:p>
    <w:p w14:paraId="73A0D81B"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lastRenderedPageBreak/>
        <w:t>We act for pile Corporation Limited our client with instructions to address you as here under.</w:t>
      </w:r>
    </w:p>
    <w:p w14:paraId="7C8F6C41" w14:textId="77777777" w:rsidR="00792B33" w:rsidRPr="00951E8F" w:rsidRDefault="00792B33" w:rsidP="005B3A4D">
      <w:pPr>
        <w:spacing w:line="276" w:lineRule="auto"/>
        <w:ind w:left="2160"/>
        <w:contextualSpacing/>
        <w:jc w:val="both"/>
        <w:rPr>
          <w:rFonts w:ascii="Times New Roman" w:hAnsi="Times New Roman"/>
          <w:i/>
        </w:rPr>
      </w:pPr>
    </w:p>
    <w:p w14:paraId="253901E9"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 xml:space="preserve">Paragraph 10 of the Service Agreement between yourselves and our client, clearly states that should any dispute arise, the same should be firstly settled by arbitration and it is therefore upon this background that we nominate </w:t>
      </w:r>
      <w:r w:rsidRPr="00951E8F">
        <w:rPr>
          <w:rFonts w:ascii="Times New Roman" w:hAnsi="Times New Roman"/>
          <w:b/>
          <w:i/>
        </w:rPr>
        <w:t xml:space="preserve">Mr. </w:t>
      </w:r>
      <w:proofErr w:type="spellStart"/>
      <w:r w:rsidRPr="00951E8F">
        <w:rPr>
          <w:rFonts w:ascii="Times New Roman" w:hAnsi="Times New Roman"/>
          <w:b/>
          <w:i/>
        </w:rPr>
        <w:t>Isabirye</w:t>
      </w:r>
      <w:proofErr w:type="spellEnd"/>
      <w:r w:rsidRPr="00951E8F">
        <w:rPr>
          <w:rFonts w:ascii="Times New Roman" w:hAnsi="Times New Roman"/>
          <w:b/>
          <w:i/>
        </w:rPr>
        <w:t xml:space="preserve"> John </w:t>
      </w:r>
      <w:r w:rsidRPr="00951E8F">
        <w:rPr>
          <w:rFonts w:ascii="Times New Roman" w:hAnsi="Times New Roman"/>
          <w:i/>
        </w:rPr>
        <w:t xml:space="preserve">and </w:t>
      </w:r>
      <w:r w:rsidRPr="00951E8F">
        <w:rPr>
          <w:rFonts w:ascii="Times New Roman" w:hAnsi="Times New Roman"/>
          <w:b/>
          <w:i/>
        </w:rPr>
        <w:t xml:space="preserve">Mr. </w:t>
      </w:r>
      <w:proofErr w:type="spellStart"/>
      <w:r w:rsidRPr="00951E8F">
        <w:rPr>
          <w:rFonts w:ascii="Times New Roman" w:hAnsi="Times New Roman"/>
          <w:b/>
          <w:i/>
        </w:rPr>
        <w:t>Yiga</w:t>
      </w:r>
      <w:proofErr w:type="spellEnd"/>
      <w:r w:rsidRPr="00951E8F">
        <w:rPr>
          <w:rFonts w:ascii="Times New Roman" w:hAnsi="Times New Roman"/>
          <w:b/>
          <w:i/>
        </w:rPr>
        <w:t xml:space="preserve"> </w:t>
      </w:r>
      <w:proofErr w:type="spellStart"/>
      <w:r w:rsidRPr="00951E8F">
        <w:rPr>
          <w:rFonts w:ascii="Times New Roman" w:hAnsi="Times New Roman"/>
          <w:b/>
          <w:i/>
        </w:rPr>
        <w:t>Shafir</w:t>
      </w:r>
      <w:proofErr w:type="spellEnd"/>
      <w:r w:rsidRPr="00951E8F">
        <w:rPr>
          <w:rFonts w:ascii="Times New Roman" w:hAnsi="Times New Roman"/>
          <w:i/>
        </w:rPr>
        <w:t xml:space="preserve"> as mediators.</w:t>
      </w:r>
    </w:p>
    <w:p w14:paraId="170B0AB5" w14:textId="77777777" w:rsidR="00792B33" w:rsidRPr="00951E8F" w:rsidRDefault="00792B33" w:rsidP="005B3A4D">
      <w:pPr>
        <w:spacing w:line="276" w:lineRule="auto"/>
        <w:ind w:left="2160"/>
        <w:contextualSpacing/>
        <w:jc w:val="both"/>
        <w:rPr>
          <w:rFonts w:ascii="Times New Roman" w:hAnsi="Times New Roman"/>
          <w:i/>
        </w:rPr>
      </w:pPr>
    </w:p>
    <w:p w14:paraId="1DA68B09"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We propose that you agree on any of them so that we immediately write to him and he advises us on his charges.</w:t>
      </w:r>
    </w:p>
    <w:p w14:paraId="1930A479" w14:textId="77777777" w:rsidR="00792B33" w:rsidRPr="00951E8F" w:rsidRDefault="00792B33" w:rsidP="005B3A4D">
      <w:pPr>
        <w:spacing w:line="276" w:lineRule="auto"/>
        <w:ind w:left="2160"/>
        <w:contextualSpacing/>
        <w:jc w:val="both"/>
        <w:rPr>
          <w:rFonts w:ascii="Times New Roman" w:hAnsi="Times New Roman"/>
          <w:i/>
        </w:rPr>
      </w:pPr>
    </w:p>
    <w:p w14:paraId="7A228561"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We await your response.</w:t>
      </w:r>
    </w:p>
    <w:p w14:paraId="1963C8C3" w14:textId="77777777" w:rsidR="00792B33" w:rsidRPr="00951E8F" w:rsidRDefault="00792B33" w:rsidP="005B3A4D">
      <w:pPr>
        <w:spacing w:line="276" w:lineRule="auto"/>
        <w:ind w:left="2160"/>
        <w:contextualSpacing/>
        <w:jc w:val="both"/>
        <w:rPr>
          <w:rFonts w:ascii="Times New Roman" w:hAnsi="Times New Roman"/>
          <w:i/>
        </w:rPr>
      </w:pPr>
    </w:p>
    <w:p w14:paraId="24199152" w14:textId="77777777" w:rsidR="00792B33" w:rsidRPr="00951E8F" w:rsidRDefault="00792B33" w:rsidP="005B3A4D">
      <w:pPr>
        <w:spacing w:line="276" w:lineRule="auto"/>
        <w:ind w:left="2160"/>
        <w:contextualSpacing/>
        <w:jc w:val="both"/>
        <w:rPr>
          <w:rFonts w:ascii="Times New Roman" w:hAnsi="Times New Roman"/>
          <w:i/>
        </w:rPr>
      </w:pPr>
      <w:r w:rsidRPr="00951E8F">
        <w:rPr>
          <w:rFonts w:ascii="Times New Roman" w:hAnsi="Times New Roman"/>
          <w:i/>
        </w:rPr>
        <w:t>Yours faithfully,</w:t>
      </w:r>
    </w:p>
    <w:p w14:paraId="03E8BE46" w14:textId="77777777" w:rsidR="00792B33" w:rsidRPr="00951E8F" w:rsidRDefault="00792B33" w:rsidP="005B3A4D">
      <w:pPr>
        <w:spacing w:line="276" w:lineRule="auto"/>
        <w:ind w:left="2160"/>
        <w:contextualSpacing/>
        <w:jc w:val="both"/>
        <w:rPr>
          <w:rFonts w:ascii="Times New Roman" w:hAnsi="Times New Roman"/>
          <w:i/>
        </w:rPr>
      </w:pPr>
      <w:proofErr w:type="spellStart"/>
      <w:r w:rsidRPr="00951E8F">
        <w:rPr>
          <w:rFonts w:ascii="Times New Roman" w:hAnsi="Times New Roman"/>
          <w:b/>
          <w:i/>
        </w:rPr>
        <w:t>Galisonga</w:t>
      </w:r>
      <w:proofErr w:type="spellEnd"/>
      <w:r w:rsidRPr="00951E8F">
        <w:rPr>
          <w:rFonts w:ascii="Times New Roman" w:hAnsi="Times New Roman"/>
          <w:b/>
          <w:i/>
        </w:rPr>
        <w:t xml:space="preserve"> &amp; Co. Advocates</w:t>
      </w:r>
      <w:r w:rsidRPr="00951E8F">
        <w:rPr>
          <w:rFonts w:ascii="Times New Roman" w:hAnsi="Times New Roman"/>
        </w:rPr>
        <w:t>”</w:t>
      </w:r>
    </w:p>
    <w:p w14:paraId="12D841D9" w14:textId="77777777" w:rsidR="00B3345F" w:rsidRPr="00951E8F" w:rsidRDefault="00B3345F" w:rsidP="005B3A4D">
      <w:pPr>
        <w:spacing w:line="276" w:lineRule="auto"/>
        <w:contextualSpacing/>
        <w:jc w:val="both"/>
        <w:rPr>
          <w:rFonts w:ascii="Times New Roman" w:hAnsi="Times New Roman"/>
        </w:rPr>
      </w:pPr>
    </w:p>
    <w:p w14:paraId="0D62E113" w14:textId="77777777" w:rsidR="00B3345F" w:rsidRPr="00951E8F" w:rsidRDefault="00B3345F" w:rsidP="005B3A4D">
      <w:pPr>
        <w:spacing w:line="276" w:lineRule="auto"/>
        <w:contextualSpacing/>
        <w:jc w:val="both"/>
        <w:rPr>
          <w:rFonts w:ascii="Times New Roman" w:hAnsi="Times New Roman"/>
        </w:rPr>
      </w:pPr>
      <w:r w:rsidRPr="00951E8F">
        <w:rPr>
          <w:rFonts w:ascii="Times New Roman" w:hAnsi="Times New Roman"/>
        </w:rPr>
        <w:t>The Reply Affidavit deposed by Respond</w:t>
      </w:r>
      <w:r w:rsidR="00792B33" w:rsidRPr="00951E8F">
        <w:rPr>
          <w:rFonts w:ascii="Times New Roman" w:hAnsi="Times New Roman"/>
        </w:rPr>
        <w:t>ent’s Managing Director, opposes</w:t>
      </w:r>
      <w:r w:rsidRPr="00951E8F">
        <w:rPr>
          <w:rFonts w:ascii="Times New Roman" w:hAnsi="Times New Roman"/>
        </w:rPr>
        <w:t xml:space="preserve"> the Application because:-</w:t>
      </w:r>
    </w:p>
    <w:p w14:paraId="25615512" w14:textId="77777777" w:rsidR="00B3345F" w:rsidRPr="00951E8F" w:rsidRDefault="00B3345F" w:rsidP="005B3A4D">
      <w:pPr>
        <w:spacing w:line="276" w:lineRule="auto"/>
        <w:contextualSpacing/>
        <w:jc w:val="both"/>
        <w:rPr>
          <w:rFonts w:ascii="Times New Roman" w:hAnsi="Times New Roman"/>
        </w:rPr>
      </w:pPr>
    </w:p>
    <w:p w14:paraId="22094BBD" w14:textId="77777777" w:rsidR="00B3345F" w:rsidRPr="00951E8F" w:rsidRDefault="00F44BCF" w:rsidP="005B3A4D">
      <w:pPr>
        <w:pStyle w:val="ColorfulList-Accent11"/>
        <w:numPr>
          <w:ilvl w:val="0"/>
          <w:numId w:val="6"/>
        </w:numPr>
        <w:spacing w:line="276" w:lineRule="auto"/>
        <w:jc w:val="both"/>
        <w:rPr>
          <w:rFonts w:ascii="Times New Roman" w:hAnsi="Times New Roman"/>
        </w:rPr>
      </w:pPr>
      <w:r w:rsidRPr="00951E8F">
        <w:rPr>
          <w:rFonts w:ascii="Times New Roman" w:hAnsi="Times New Roman"/>
        </w:rPr>
        <w:t>The dispute is not the subject of a valid arbitration agreement.</w:t>
      </w:r>
    </w:p>
    <w:p w14:paraId="59AB4DFA" w14:textId="77777777" w:rsidR="00792B33" w:rsidRPr="00951E8F" w:rsidRDefault="00792B33" w:rsidP="005B3A4D">
      <w:pPr>
        <w:pStyle w:val="ColorfulList-Accent11"/>
        <w:spacing w:line="276" w:lineRule="auto"/>
        <w:ind w:left="960"/>
        <w:jc w:val="both"/>
        <w:rPr>
          <w:rFonts w:ascii="Times New Roman" w:hAnsi="Times New Roman"/>
        </w:rPr>
      </w:pPr>
    </w:p>
    <w:p w14:paraId="1BDB5221" w14:textId="77777777" w:rsidR="00F44BCF" w:rsidRPr="00951E8F" w:rsidRDefault="00F44BCF" w:rsidP="005B3A4D">
      <w:pPr>
        <w:pStyle w:val="ColorfulList-Accent11"/>
        <w:numPr>
          <w:ilvl w:val="0"/>
          <w:numId w:val="6"/>
        </w:numPr>
        <w:spacing w:line="276" w:lineRule="auto"/>
        <w:jc w:val="both"/>
        <w:rPr>
          <w:rFonts w:ascii="Times New Roman" w:hAnsi="Times New Roman"/>
        </w:rPr>
      </w:pPr>
      <w:r w:rsidRPr="00951E8F">
        <w:rPr>
          <w:rFonts w:ascii="Times New Roman" w:hAnsi="Times New Roman"/>
        </w:rPr>
        <w:t>The reference ‘</w:t>
      </w:r>
      <w:r w:rsidRPr="00951E8F">
        <w:rPr>
          <w:rFonts w:ascii="Times New Roman" w:hAnsi="Times New Roman"/>
          <w:b/>
          <w:i/>
        </w:rPr>
        <w:t>failure of arbitration</w:t>
      </w:r>
      <w:r w:rsidRPr="00951E8F">
        <w:rPr>
          <w:rFonts w:ascii="Times New Roman" w:hAnsi="Times New Roman"/>
        </w:rPr>
        <w:t>’ is inconsistent with the process and usual conduct of arbitration which (whatever the outcome) culminates in arbitral awards and not in failure.</w:t>
      </w:r>
    </w:p>
    <w:p w14:paraId="47EA7B74" w14:textId="77777777" w:rsidR="00792B33" w:rsidRPr="00951E8F" w:rsidRDefault="00792B33" w:rsidP="005B3A4D">
      <w:pPr>
        <w:spacing w:line="276" w:lineRule="auto"/>
        <w:contextualSpacing/>
        <w:jc w:val="both"/>
        <w:rPr>
          <w:rFonts w:ascii="Times New Roman" w:hAnsi="Times New Roman"/>
        </w:rPr>
      </w:pPr>
    </w:p>
    <w:p w14:paraId="098EE537" w14:textId="77777777" w:rsidR="00F44BCF" w:rsidRPr="00951E8F" w:rsidRDefault="00C41346" w:rsidP="005B3A4D">
      <w:pPr>
        <w:pStyle w:val="ColorfulList-Accent11"/>
        <w:numPr>
          <w:ilvl w:val="0"/>
          <w:numId w:val="6"/>
        </w:numPr>
        <w:spacing w:line="276" w:lineRule="auto"/>
        <w:jc w:val="both"/>
        <w:rPr>
          <w:rFonts w:ascii="Times New Roman" w:hAnsi="Times New Roman"/>
        </w:rPr>
      </w:pPr>
      <w:r w:rsidRPr="00951E8F">
        <w:rPr>
          <w:rFonts w:ascii="Times New Roman" w:hAnsi="Times New Roman"/>
        </w:rPr>
        <w:t xml:space="preserve">The Annex C letter unequivocally demonstrates that intention was to appoint mediators as opposed to arbitrators </w:t>
      </w:r>
      <w:r w:rsidRPr="00951E8F">
        <w:rPr>
          <w:rFonts w:ascii="Times New Roman" w:hAnsi="Times New Roman"/>
          <w:b/>
          <w:i/>
        </w:rPr>
        <w:t>and</w:t>
      </w:r>
      <w:r w:rsidRPr="00951E8F">
        <w:rPr>
          <w:rFonts w:ascii="Times New Roman" w:hAnsi="Times New Roman"/>
          <w:i/>
        </w:rPr>
        <w:t xml:space="preserve"> our lawyers formally communicat</w:t>
      </w:r>
      <w:r w:rsidR="00526F32" w:rsidRPr="00951E8F">
        <w:rPr>
          <w:rFonts w:ascii="Times New Roman" w:hAnsi="Times New Roman"/>
          <w:i/>
        </w:rPr>
        <w:t xml:space="preserve">ed to the Applicant that </w:t>
      </w:r>
      <w:r w:rsidR="00526F32" w:rsidRPr="00951E8F">
        <w:rPr>
          <w:rFonts w:ascii="Times New Roman" w:hAnsi="Times New Roman"/>
          <w:b/>
          <w:i/>
        </w:rPr>
        <w:t xml:space="preserve">the so </w:t>
      </w:r>
      <w:r w:rsidRPr="00951E8F">
        <w:rPr>
          <w:rFonts w:ascii="Times New Roman" w:hAnsi="Times New Roman"/>
          <w:b/>
          <w:i/>
        </w:rPr>
        <w:t>called arbitration clause was inoperative</w:t>
      </w:r>
      <w:r w:rsidRPr="00951E8F">
        <w:rPr>
          <w:rFonts w:ascii="Times New Roman" w:hAnsi="Times New Roman"/>
        </w:rPr>
        <w:t>.</w:t>
      </w:r>
    </w:p>
    <w:p w14:paraId="49FC1AD0" w14:textId="77777777" w:rsidR="00526F32" w:rsidRPr="00951E8F" w:rsidRDefault="00526F32" w:rsidP="005B3A4D">
      <w:pPr>
        <w:spacing w:line="276" w:lineRule="auto"/>
        <w:contextualSpacing/>
        <w:jc w:val="both"/>
        <w:rPr>
          <w:rFonts w:ascii="Times New Roman" w:hAnsi="Times New Roman"/>
        </w:rPr>
      </w:pPr>
    </w:p>
    <w:p w14:paraId="679D815D" w14:textId="068D8593" w:rsidR="00526F32" w:rsidRPr="00951E8F" w:rsidRDefault="00526F32" w:rsidP="005B3A4D">
      <w:pPr>
        <w:pStyle w:val="ColorfulList-Accent11"/>
        <w:numPr>
          <w:ilvl w:val="0"/>
          <w:numId w:val="6"/>
        </w:numPr>
        <w:spacing w:line="276" w:lineRule="auto"/>
        <w:jc w:val="both"/>
        <w:rPr>
          <w:rFonts w:ascii="Times New Roman" w:hAnsi="Times New Roman"/>
        </w:rPr>
      </w:pPr>
      <w:r w:rsidRPr="00951E8F">
        <w:rPr>
          <w:rFonts w:ascii="Times New Roman" w:hAnsi="Times New Roman"/>
        </w:rPr>
        <w:t>That Clause 10 does not constitute a valid arbitration agreement as envisaged by the Arbitration and Conciliation Act as it spe</w:t>
      </w:r>
      <w:r w:rsidR="00B91000" w:rsidRPr="00951E8F">
        <w:rPr>
          <w:rFonts w:ascii="Times New Roman" w:hAnsi="Times New Roman"/>
        </w:rPr>
        <w:t>ci</w:t>
      </w:r>
      <w:r w:rsidRPr="00951E8F">
        <w:rPr>
          <w:rFonts w:ascii="Times New Roman" w:hAnsi="Times New Roman"/>
        </w:rPr>
        <w:t xml:space="preserve">fically provides for reference of the entire dispute (and not only points of law) to the courts of law making it inconsistent with Section 9 of the </w:t>
      </w:r>
      <w:r w:rsidR="00B22633" w:rsidRPr="00951E8F">
        <w:rPr>
          <w:rFonts w:ascii="Times New Roman" w:hAnsi="Times New Roman"/>
        </w:rPr>
        <w:t xml:space="preserve">Arbitration &amp; Conciliation </w:t>
      </w:r>
      <w:r w:rsidRPr="00951E8F">
        <w:rPr>
          <w:rFonts w:ascii="Times New Roman" w:hAnsi="Times New Roman"/>
        </w:rPr>
        <w:t xml:space="preserve">Act and </w:t>
      </w:r>
      <w:r w:rsidR="00B22633" w:rsidRPr="00951E8F">
        <w:rPr>
          <w:rFonts w:ascii="Times New Roman" w:hAnsi="Times New Roman"/>
        </w:rPr>
        <w:t>therefore further making any arbitral award that may arise from arbitration herein subject to challenge under Section 34 of the Arbitration Act.</w:t>
      </w:r>
    </w:p>
    <w:p w14:paraId="2078CAE4" w14:textId="77777777" w:rsidR="00B22633" w:rsidRPr="00951E8F" w:rsidRDefault="00B22633" w:rsidP="005B3A4D">
      <w:pPr>
        <w:spacing w:line="276" w:lineRule="auto"/>
        <w:contextualSpacing/>
        <w:jc w:val="both"/>
        <w:rPr>
          <w:rFonts w:ascii="Times New Roman" w:hAnsi="Times New Roman"/>
        </w:rPr>
      </w:pPr>
    </w:p>
    <w:p w14:paraId="550C5B34" w14:textId="77777777" w:rsidR="00B22633" w:rsidRPr="00951E8F" w:rsidRDefault="00B22633" w:rsidP="005B3A4D">
      <w:pPr>
        <w:pStyle w:val="ColorfulList-Accent11"/>
        <w:numPr>
          <w:ilvl w:val="0"/>
          <w:numId w:val="6"/>
        </w:numPr>
        <w:spacing w:line="276" w:lineRule="auto"/>
        <w:jc w:val="both"/>
        <w:rPr>
          <w:rFonts w:ascii="Times New Roman" w:hAnsi="Times New Roman"/>
        </w:rPr>
      </w:pPr>
      <w:r w:rsidRPr="00951E8F">
        <w:rPr>
          <w:rFonts w:ascii="Times New Roman" w:hAnsi="Times New Roman"/>
        </w:rPr>
        <w:t>That if the Applicant had clearly stated that it was initiating mediation proceedings, as opposed to arbitration, the Respondent Company would have happily participated in the process.</w:t>
      </w:r>
    </w:p>
    <w:p w14:paraId="5613B394" w14:textId="77777777" w:rsidR="00FB1E88" w:rsidRPr="00951E8F" w:rsidRDefault="00FB1E88" w:rsidP="005B3A4D">
      <w:pPr>
        <w:spacing w:line="276" w:lineRule="auto"/>
        <w:contextualSpacing/>
        <w:jc w:val="both"/>
        <w:rPr>
          <w:rFonts w:ascii="Times New Roman" w:hAnsi="Times New Roman"/>
        </w:rPr>
      </w:pPr>
    </w:p>
    <w:p w14:paraId="4CDD1EDD" w14:textId="77777777" w:rsidR="0024267F" w:rsidRPr="00951E8F" w:rsidRDefault="00912CF8" w:rsidP="005B3A4D">
      <w:pPr>
        <w:spacing w:line="276" w:lineRule="auto"/>
        <w:contextualSpacing/>
        <w:jc w:val="both"/>
        <w:rPr>
          <w:rFonts w:ascii="Times New Roman" w:hAnsi="Times New Roman"/>
        </w:rPr>
      </w:pPr>
      <w:r w:rsidRPr="00951E8F">
        <w:rPr>
          <w:rFonts w:ascii="Times New Roman" w:hAnsi="Times New Roman"/>
        </w:rPr>
        <w:t>Submissions by both counsel followed what was already set out in the respective Affidavits.</w:t>
      </w:r>
    </w:p>
    <w:p w14:paraId="59F5E5EA" w14:textId="77777777" w:rsidR="00912CF8" w:rsidRPr="00951E8F" w:rsidRDefault="00912CF8" w:rsidP="005B3A4D">
      <w:pPr>
        <w:spacing w:line="276" w:lineRule="auto"/>
        <w:contextualSpacing/>
        <w:jc w:val="both"/>
        <w:rPr>
          <w:rFonts w:ascii="Times New Roman" w:hAnsi="Times New Roman"/>
        </w:rPr>
      </w:pPr>
    </w:p>
    <w:p w14:paraId="498235D9" w14:textId="77777777" w:rsidR="0024267F" w:rsidRPr="00951E8F" w:rsidRDefault="0024267F" w:rsidP="005B3A4D">
      <w:pPr>
        <w:spacing w:line="276" w:lineRule="auto"/>
        <w:contextualSpacing/>
        <w:jc w:val="both"/>
        <w:rPr>
          <w:rFonts w:ascii="Times New Roman" w:hAnsi="Times New Roman"/>
        </w:rPr>
      </w:pPr>
      <w:r w:rsidRPr="00951E8F">
        <w:rPr>
          <w:rFonts w:ascii="Times New Roman" w:hAnsi="Times New Roman"/>
        </w:rPr>
        <w:t>To begin with, we must discard of notion introduced by counsel</w:t>
      </w:r>
      <w:r w:rsidR="00912CF8" w:rsidRPr="00951E8F">
        <w:rPr>
          <w:rFonts w:ascii="Times New Roman" w:hAnsi="Times New Roman"/>
        </w:rPr>
        <w:t>,</w:t>
      </w:r>
      <w:r w:rsidRPr="00951E8F">
        <w:rPr>
          <w:rFonts w:ascii="Times New Roman" w:hAnsi="Times New Roman"/>
        </w:rPr>
        <w:t xml:space="preserve"> which are not present in Clause 10, in particular the concept of appeals.</w:t>
      </w:r>
    </w:p>
    <w:p w14:paraId="235898A1" w14:textId="77777777" w:rsidR="0024267F" w:rsidRPr="00951E8F" w:rsidRDefault="0024267F" w:rsidP="005B3A4D">
      <w:pPr>
        <w:spacing w:line="276" w:lineRule="auto"/>
        <w:contextualSpacing/>
        <w:jc w:val="both"/>
        <w:rPr>
          <w:rFonts w:ascii="Times New Roman" w:hAnsi="Times New Roman"/>
        </w:rPr>
      </w:pPr>
    </w:p>
    <w:p w14:paraId="18E42751" w14:textId="77777777" w:rsidR="0024267F" w:rsidRPr="00951E8F" w:rsidRDefault="0024267F" w:rsidP="005B3A4D">
      <w:pPr>
        <w:spacing w:line="276" w:lineRule="auto"/>
        <w:contextualSpacing/>
        <w:jc w:val="both"/>
        <w:rPr>
          <w:rFonts w:ascii="Times New Roman" w:hAnsi="Times New Roman"/>
        </w:rPr>
      </w:pPr>
      <w:r w:rsidRPr="00951E8F">
        <w:rPr>
          <w:rFonts w:ascii="Times New Roman" w:hAnsi="Times New Roman"/>
        </w:rPr>
        <w:t>An appeal is a term of art</w:t>
      </w:r>
      <w:r w:rsidR="00B22633" w:rsidRPr="00951E8F">
        <w:rPr>
          <w:rFonts w:ascii="Times New Roman" w:hAnsi="Times New Roman"/>
        </w:rPr>
        <w:t>,</w:t>
      </w:r>
      <w:r w:rsidRPr="00951E8F">
        <w:rPr>
          <w:rFonts w:ascii="Times New Roman" w:hAnsi="Times New Roman"/>
        </w:rPr>
        <w:t xml:space="preserve"> which first resides within the parties under the party autonomy umbrella.  In this case the parties can write up an arbitration clause</w:t>
      </w:r>
      <w:r w:rsidR="00321FA2" w:rsidRPr="00951E8F">
        <w:rPr>
          <w:rFonts w:ascii="Times New Roman" w:hAnsi="Times New Roman"/>
        </w:rPr>
        <w:t>,</w:t>
      </w:r>
      <w:r w:rsidRPr="00951E8F">
        <w:rPr>
          <w:rFonts w:ascii="Times New Roman" w:hAnsi="Times New Roman"/>
        </w:rPr>
        <w:t xml:space="preserve"> which makes provision for appeals.</w:t>
      </w:r>
    </w:p>
    <w:p w14:paraId="03C50534" w14:textId="77777777" w:rsidR="00E72667" w:rsidRPr="00951E8F" w:rsidRDefault="00E72667" w:rsidP="005B3A4D">
      <w:pPr>
        <w:spacing w:line="276" w:lineRule="auto"/>
        <w:contextualSpacing/>
        <w:jc w:val="both"/>
        <w:rPr>
          <w:rFonts w:ascii="Times New Roman" w:hAnsi="Times New Roman"/>
        </w:rPr>
      </w:pPr>
    </w:p>
    <w:p w14:paraId="386546E6" w14:textId="77777777" w:rsidR="00321FA2" w:rsidRPr="00951E8F" w:rsidRDefault="004B3F88" w:rsidP="005B3A4D">
      <w:pPr>
        <w:spacing w:line="276" w:lineRule="auto"/>
        <w:contextualSpacing/>
        <w:jc w:val="both"/>
        <w:rPr>
          <w:rFonts w:ascii="Times New Roman" w:hAnsi="Times New Roman"/>
        </w:rPr>
      </w:pPr>
      <w:r w:rsidRPr="00951E8F">
        <w:rPr>
          <w:rFonts w:ascii="Times New Roman" w:hAnsi="Times New Roman"/>
        </w:rPr>
        <w:t>The</w:t>
      </w:r>
      <w:r w:rsidR="00E54B9B" w:rsidRPr="00951E8F">
        <w:rPr>
          <w:rFonts w:ascii="Times New Roman" w:hAnsi="Times New Roman"/>
        </w:rPr>
        <w:t xml:space="preserve"> </w:t>
      </w:r>
      <w:proofErr w:type="spellStart"/>
      <w:r w:rsidR="00E54B9B" w:rsidRPr="00951E8F">
        <w:rPr>
          <w:rFonts w:ascii="Times New Roman" w:hAnsi="Times New Roman"/>
          <w:b/>
        </w:rPr>
        <w:t>Centrotrade</w:t>
      </w:r>
      <w:proofErr w:type="spellEnd"/>
      <w:r w:rsidR="00E54B9B" w:rsidRPr="00951E8F">
        <w:rPr>
          <w:rFonts w:ascii="Times New Roman" w:hAnsi="Times New Roman"/>
          <w:b/>
        </w:rPr>
        <w:t xml:space="preserve"> Minerals &amp; Metal Inc. Versus Hindustan Copper Limited</w:t>
      </w:r>
      <w:r w:rsidR="0071253F" w:rsidRPr="00951E8F">
        <w:rPr>
          <w:rStyle w:val="FootnoteReference"/>
          <w:rFonts w:ascii="Times New Roman" w:hAnsi="Times New Roman"/>
        </w:rPr>
        <w:footnoteReference w:id="1"/>
      </w:r>
      <w:proofErr w:type="gramStart"/>
      <w:r w:rsidRPr="00951E8F">
        <w:rPr>
          <w:rFonts w:ascii="Times New Roman" w:hAnsi="Times New Roman"/>
        </w:rPr>
        <w:t>,</w:t>
      </w:r>
      <w:proofErr w:type="gramEnd"/>
      <w:r w:rsidRPr="00951E8F">
        <w:rPr>
          <w:rFonts w:ascii="Times New Roman" w:hAnsi="Times New Roman"/>
        </w:rPr>
        <w:t xml:space="preserve"> is instructive. </w:t>
      </w:r>
      <w:r w:rsidR="0071253F" w:rsidRPr="00951E8F">
        <w:rPr>
          <w:rFonts w:ascii="Times New Roman" w:hAnsi="Times New Roman"/>
        </w:rPr>
        <w:t xml:space="preserve"> </w:t>
      </w:r>
      <w:r w:rsidR="00321FA2" w:rsidRPr="00951E8F">
        <w:rPr>
          <w:rFonts w:ascii="Times New Roman" w:hAnsi="Times New Roman"/>
        </w:rPr>
        <w:t xml:space="preserve">It is instructive to note the Indian Arbitration and Conciliation Act provisions are in </w:t>
      </w:r>
      <w:proofErr w:type="spellStart"/>
      <w:r w:rsidR="00321FA2" w:rsidRPr="00951E8F">
        <w:rPr>
          <w:rFonts w:ascii="Times New Roman" w:hAnsi="Times New Roman"/>
          <w:i/>
        </w:rPr>
        <w:t>pari</w:t>
      </w:r>
      <w:proofErr w:type="spellEnd"/>
      <w:r w:rsidR="00321FA2" w:rsidRPr="00951E8F">
        <w:rPr>
          <w:rFonts w:ascii="Times New Roman" w:hAnsi="Times New Roman"/>
          <w:i/>
        </w:rPr>
        <w:t xml:space="preserve"> material</w:t>
      </w:r>
      <w:r w:rsidR="00321FA2" w:rsidRPr="00951E8F">
        <w:rPr>
          <w:rFonts w:ascii="Times New Roman" w:hAnsi="Times New Roman"/>
        </w:rPr>
        <w:t xml:space="preserve"> to the Ugandan Arbitration and Conciliation Act [hereafter referred to as the ACA].</w:t>
      </w:r>
    </w:p>
    <w:p w14:paraId="205DC970" w14:textId="77777777" w:rsidR="00321FA2" w:rsidRPr="00951E8F" w:rsidRDefault="00321FA2" w:rsidP="005B3A4D">
      <w:pPr>
        <w:spacing w:line="276" w:lineRule="auto"/>
        <w:contextualSpacing/>
        <w:jc w:val="both"/>
        <w:rPr>
          <w:rFonts w:ascii="Times New Roman" w:hAnsi="Times New Roman"/>
        </w:rPr>
      </w:pPr>
    </w:p>
    <w:p w14:paraId="49058609" w14:textId="77777777" w:rsidR="00321FA2" w:rsidRPr="00951E8F" w:rsidRDefault="00321FA2" w:rsidP="005B3A4D">
      <w:pPr>
        <w:spacing w:line="276" w:lineRule="auto"/>
        <w:contextualSpacing/>
        <w:jc w:val="both"/>
        <w:rPr>
          <w:rFonts w:ascii="Times New Roman" w:hAnsi="Times New Roman"/>
        </w:rPr>
      </w:pPr>
    </w:p>
    <w:p w14:paraId="73F3D185" w14:textId="77777777" w:rsidR="00292FE7" w:rsidRPr="00951E8F" w:rsidRDefault="0073590D" w:rsidP="005B3A4D">
      <w:pPr>
        <w:spacing w:line="276" w:lineRule="auto"/>
        <w:contextualSpacing/>
        <w:jc w:val="both"/>
        <w:rPr>
          <w:rFonts w:ascii="Times New Roman" w:hAnsi="Times New Roman"/>
        </w:rPr>
      </w:pPr>
      <w:proofErr w:type="spellStart"/>
      <w:r w:rsidRPr="00951E8F">
        <w:rPr>
          <w:rFonts w:ascii="Times New Roman" w:hAnsi="Times New Roman"/>
        </w:rPr>
        <w:t>Centrotrade</w:t>
      </w:r>
      <w:proofErr w:type="spellEnd"/>
      <w:r w:rsidRPr="00951E8F">
        <w:rPr>
          <w:rFonts w:ascii="Times New Roman" w:hAnsi="Times New Roman"/>
        </w:rPr>
        <w:t xml:space="preserve"> Minerals &amp; Metals </w:t>
      </w:r>
      <w:proofErr w:type="spellStart"/>
      <w:r w:rsidRPr="00951E8F">
        <w:rPr>
          <w:rFonts w:ascii="Times New Roman" w:hAnsi="Times New Roman"/>
        </w:rPr>
        <w:t>Inc</w:t>
      </w:r>
      <w:proofErr w:type="spellEnd"/>
      <w:r w:rsidRPr="00951E8F">
        <w:rPr>
          <w:rFonts w:ascii="Times New Roman" w:hAnsi="Times New Roman"/>
        </w:rPr>
        <w:t xml:space="preserve"> and Hindustan Copper Limited (HCL</w:t>
      </w:r>
      <w:proofErr w:type="gramStart"/>
      <w:r w:rsidRPr="00951E8F">
        <w:rPr>
          <w:rFonts w:ascii="Times New Roman" w:hAnsi="Times New Roman"/>
        </w:rPr>
        <w:t>)(</w:t>
      </w:r>
      <w:proofErr w:type="gramEnd"/>
      <w:r w:rsidRPr="00951E8F">
        <w:rPr>
          <w:rFonts w:ascii="Times New Roman" w:hAnsi="Times New Roman"/>
        </w:rPr>
        <w:t xml:space="preserve">3) entered into a contract for the sale of copper concentrate, which was to be used in the HCL's </w:t>
      </w:r>
      <w:proofErr w:type="spellStart"/>
      <w:r w:rsidRPr="00951E8F">
        <w:rPr>
          <w:rFonts w:ascii="Times New Roman" w:hAnsi="Times New Roman"/>
        </w:rPr>
        <w:t>Khetri</w:t>
      </w:r>
      <w:proofErr w:type="spellEnd"/>
      <w:r w:rsidRPr="00951E8F">
        <w:rPr>
          <w:rFonts w:ascii="Times New Roman" w:hAnsi="Times New Roman"/>
        </w:rPr>
        <w:t xml:space="preserve"> plant. Differences arose between the parties regarding the dry weight of the goods and </w:t>
      </w:r>
      <w:proofErr w:type="spellStart"/>
      <w:r w:rsidRPr="00951E8F">
        <w:rPr>
          <w:rFonts w:ascii="Times New Roman" w:hAnsi="Times New Roman"/>
        </w:rPr>
        <w:t>Centrotrade</w:t>
      </w:r>
      <w:proofErr w:type="spellEnd"/>
      <w:r w:rsidRPr="00951E8F">
        <w:rPr>
          <w:rFonts w:ascii="Times New Roman" w:hAnsi="Times New Roman"/>
        </w:rPr>
        <w:t xml:space="preserve"> invoked the arbitration clause</w:t>
      </w:r>
      <w:r w:rsidR="001E4395" w:rsidRPr="00951E8F">
        <w:rPr>
          <w:rFonts w:ascii="Times New Roman" w:hAnsi="Times New Roman"/>
        </w:rPr>
        <w:t>,</w:t>
      </w:r>
      <w:r w:rsidRPr="00951E8F">
        <w:rPr>
          <w:rFonts w:ascii="Times New Roman" w:hAnsi="Times New Roman"/>
        </w:rPr>
        <w:t xml:space="preserve"> which </w:t>
      </w:r>
      <w:r w:rsidR="0071253F" w:rsidRPr="00951E8F">
        <w:rPr>
          <w:rFonts w:ascii="Times New Roman" w:hAnsi="Times New Roman"/>
        </w:rPr>
        <w:t>stated</w:t>
      </w:r>
      <w:r w:rsidR="00292FE7" w:rsidRPr="00951E8F">
        <w:rPr>
          <w:rFonts w:ascii="Times New Roman" w:hAnsi="Times New Roman"/>
        </w:rPr>
        <w:t>,</w:t>
      </w:r>
      <w:r w:rsidR="0071253F" w:rsidRPr="00951E8F">
        <w:rPr>
          <w:rFonts w:ascii="Times New Roman" w:hAnsi="Times New Roman"/>
        </w:rPr>
        <w:t xml:space="preserve"> </w:t>
      </w:r>
    </w:p>
    <w:p w14:paraId="6BB9DBBE" w14:textId="77777777" w:rsidR="00203730" w:rsidRPr="00951E8F" w:rsidRDefault="00203730" w:rsidP="005B3A4D">
      <w:pPr>
        <w:spacing w:line="276" w:lineRule="auto"/>
        <w:contextualSpacing/>
        <w:jc w:val="both"/>
        <w:rPr>
          <w:rFonts w:ascii="Times New Roman" w:hAnsi="Times New Roman"/>
        </w:rPr>
      </w:pPr>
    </w:p>
    <w:p w14:paraId="542FEEC0" w14:textId="77777777" w:rsidR="001E4395" w:rsidRPr="00951E8F" w:rsidRDefault="0071253F" w:rsidP="005B3A4D">
      <w:pPr>
        <w:spacing w:line="276" w:lineRule="auto"/>
        <w:ind w:left="1440"/>
        <w:contextualSpacing/>
        <w:jc w:val="both"/>
        <w:rPr>
          <w:rFonts w:ascii="Times New Roman" w:hAnsi="Times New Roman"/>
        </w:rPr>
      </w:pPr>
      <w:r w:rsidRPr="00951E8F">
        <w:rPr>
          <w:rFonts w:ascii="Times New Roman" w:hAnsi="Times New Roman"/>
        </w:rPr>
        <w:t>"</w:t>
      </w:r>
      <w:r w:rsidRPr="00951E8F">
        <w:rPr>
          <w:rFonts w:ascii="Times New Roman" w:hAnsi="Times New Roman"/>
          <w:i/>
        </w:rPr>
        <w:t>All disputes or diff</w:t>
      </w:r>
      <w:r w:rsidR="0073590D" w:rsidRPr="00951E8F">
        <w:rPr>
          <w:rFonts w:ascii="Times New Roman" w:hAnsi="Times New Roman"/>
          <w:i/>
        </w:rPr>
        <w:t xml:space="preserve">erences whatsoever arising between the parties out of, or relating to, the construction, meaning and operation </w:t>
      </w:r>
      <w:r w:rsidR="001E4395" w:rsidRPr="00951E8F">
        <w:rPr>
          <w:rFonts w:ascii="Times New Roman" w:hAnsi="Times New Roman"/>
          <w:i/>
        </w:rPr>
        <w:t>or eff</w:t>
      </w:r>
      <w:r w:rsidR="0073590D" w:rsidRPr="00951E8F">
        <w:rPr>
          <w:rFonts w:ascii="Times New Roman" w:hAnsi="Times New Roman"/>
          <w:i/>
        </w:rPr>
        <w:t xml:space="preserve">ect of the contract or the breach thereof shall be settled by arbitration in India through the arbitration panel of the Indian Council of Arbitration in accordance with the Rules of Arbitration of the Indian Council of Arbitration. </w:t>
      </w:r>
      <w:r w:rsidR="001E4395" w:rsidRPr="00951E8F">
        <w:rPr>
          <w:rFonts w:ascii="Times New Roman" w:hAnsi="Times New Roman"/>
          <w:i/>
        </w:rPr>
        <w:t xml:space="preserve"> </w:t>
      </w:r>
      <w:r w:rsidR="0073590D" w:rsidRPr="00951E8F">
        <w:rPr>
          <w:rFonts w:ascii="Times New Roman" w:hAnsi="Times New Roman"/>
          <w:i/>
        </w:rPr>
        <w:t>If either party is in disagreement with the arbitration result in India, either party will have the right to appeal to a second arbitration in London, UK in accordance with the Rules of Conciliation and Arbitration of the Internat</w:t>
      </w:r>
      <w:r w:rsidR="001E4395" w:rsidRPr="00951E8F">
        <w:rPr>
          <w:rFonts w:ascii="Times New Roman" w:hAnsi="Times New Roman"/>
          <w:i/>
        </w:rPr>
        <w:t>ional Chamber of Commerce in eff</w:t>
      </w:r>
      <w:r w:rsidR="0073590D" w:rsidRPr="00951E8F">
        <w:rPr>
          <w:rFonts w:ascii="Times New Roman" w:hAnsi="Times New Roman"/>
          <w:i/>
        </w:rPr>
        <w:t>ect on the date hereof and the results of this second arbitration will be binding on both the parties. Judgment upon the award may be entered in any court in jurisdiction</w:t>
      </w:r>
      <w:r w:rsidR="0073590D" w:rsidRPr="00951E8F">
        <w:rPr>
          <w:rFonts w:ascii="Times New Roman" w:hAnsi="Times New Roman"/>
        </w:rPr>
        <w:t xml:space="preserve">." </w:t>
      </w:r>
    </w:p>
    <w:p w14:paraId="4DE716CA" w14:textId="77777777" w:rsidR="001E4395" w:rsidRPr="00951E8F" w:rsidRDefault="001E4395" w:rsidP="005B3A4D">
      <w:pPr>
        <w:spacing w:line="276" w:lineRule="auto"/>
        <w:contextualSpacing/>
        <w:jc w:val="both"/>
        <w:rPr>
          <w:rFonts w:ascii="Times New Roman" w:hAnsi="Times New Roman"/>
        </w:rPr>
      </w:pPr>
    </w:p>
    <w:p w14:paraId="35621176" w14:textId="77777777" w:rsidR="0073590D" w:rsidRPr="00951E8F" w:rsidRDefault="0073590D" w:rsidP="005B3A4D">
      <w:pPr>
        <w:spacing w:line="276" w:lineRule="auto"/>
        <w:contextualSpacing/>
        <w:jc w:val="both"/>
        <w:rPr>
          <w:rFonts w:ascii="Times New Roman" w:hAnsi="Times New Roman"/>
        </w:rPr>
      </w:pPr>
      <w:r w:rsidRPr="00951E8F">
        <w:rPr>
          <w:rFonts w:ascii="Times New Roman" w:hAnsi="Times New Roman"/>
        </w:rPr>
        <w:t xml:space="preserve">On </w:t>
      </w:r>
      <w:r w:rsidR="009A4857" w:rsidRPr="00951E8F">
        <w:rPr>
          <w:rFonts w:ascii="Times New Roman" w:hAnsi="Times New Roman"/>
        </w:rPr>
        <w:t xml:space="preserve">15th </w:t>
      </w:r>
      <w:r w:rsidRPr="00951E8F">
        <w:rPr>
          <w:rFonts w:ascii="Times New Roman" w:hAnsi="Times New Roman"/>
        </w:rPr>
        <w:t xml:space="preserve">June 1999 an award was </w:t>
      </w:r>
      <w:r w:rsidR="009A4857" w:rsidRPr="00951E8F">
        <w:rPr>
          <w:rFonts w:ascii="Times New Roman" w:hAnsi="Times New Roman"/>
        </w:rPr>
        <w:t xml:space="preserve">delivered </w:t>
      </w:r>
      <w:r w:rsidRPr="00951E8F">
        <w:rPr>
          <w:rFonts w:ascii="Times New Roman" w:hAnsi="Times New Roman"/>
        </w:rPr>
        <w:t xml:space="preserve">under the rules of the Indian Council of Arbitration (ICA). </w:t>
      </w:r>
      <w:proofErr w:type="spellStart"/>
      <w:r w:rsidRPr="00951E8F">
        <w:rPr>
          <w:rFonts w:ascii="Times New Roman" w:hAnsi="Times New Roman"/>
        </w:rPr>
        <w:t>Centrotrade</w:t>
      </w:r>
      <w:proofErr w:type="spellEnd"/>
      <w:r w:rsidRPr="00951E8F">
        <w:rPr>
          <w:rFonts w:ascii="Times New Roman" w:hAnsi="Times New Roman"/>
        </w:rPr>
        <w:t xml:space="preserve"> appealed the ICA award by initiating proceedings before the International Chamber of Commerce (ICC) on </w:t>
      </w:r>
      <w:r w:rsidR="00292FE7" w:rsidRPr="00951E8F">
        <w:rPr>
          <w:rFonts w:ascii="Times New Roman" w:hAnsi="Times New Roman"/>
        </w:rPr>
        <w:t xml:space="preserve">22nd </w:t>
      </w:r>
      <w:r w:rsidRPr="00951E8F">
        <w:rPr>
          <w:rFonts w:ascii="Times New Roman" w:hAnsi="Times New Roman"/>
        </w:rPr>
        <w:t xml:space="preserve">February 2000. The </w:t>
      </w:r>
      <w:r w:rsidR="00292FE7" w:rsidRPr="00951E8F">
        <w:rPr>
          <w:rFonts w:ascii="Times New Roman" w:hAnsi="Times New Roman"/>
        </w:rPr>
        <w:t>ICC sole arbitrator</w:t>
      </w:r>
      <w:r w:rsidR="009A4857" w:rsidRPr="00951E8F">
        <w:rPr>
          <w:rFonts w:ascii="Times New Roman" w:hAnsi="Times New Roman"/>
        </w:rPr>
        <w:t xml:space="preserve"> tribunal</w:t>
      </w:r>
      <w:r w:rsidR="00292FE7" w:rsidRPr="00951E8F">
        <w:rPr>
          <w:rFonts w:ascii="Times New Roman" w:hAnsi="Times New Roman"/>
        </w:rPr>
        <w:t xml:space="preserve"> delivered the award in</w:t>
      </w:r>
      <w:r w:rsidRPr="00951E8F">
        <w:rPr>
          <w:rFonts w:ascii="Times New Roman" w:hAnsi="Times New Roman"/>
        </w:rPr>
        <w:t xml:space="preserve"> 2001, upholding the validity of the arbitration clause and </w:t>
      </w:r>
      <w:proofErr w:type="spellStart"/>
      <w:r w:rsidRPr="00951E8F">
        <w:rPr>
          <w:rFonts w:ascii="Times New Roman" w:hAnsi="Times New Roman"/>
        </w:rPr>
        <w:t>Centrotrade's</w:t>
      </w:r>
      <w:proofErr w:type="spellEnd"/>
      <w:r w:rsidRPr="00951E8F">
        <w:rPr>
          <w:rFonts w:ascii="Times New Roman" w:hAnsi="Times New Roman"/>
        </w:rPr>
        <w:t xml:space="preserve"> claims. </w:t>
      </w:r>
      <w:r w:rsidR="004823C9" w:rsidRPr="00951E8F">
        <w:rPr>
          <w:rFonts w:ascii="Times New Roman" w:hAnsi="Times New Roman"/>
        </w:rPr>
        <w:t xml:space="preserve"> </w:t>
      </w:r>
      <w:proofErr w:type="spellStart"/>
      <w:r w:rsidRPr="00951E8F">
        <w:rPr>
          <w:rFonts w:ascii="Times New Roman" w:hAnsi="Times New Roman"/>
        </w:rPr>
        <w:t>Centrotrade</w:t>
      </w:r>
      <w:proofErr w:type="spellEnd"/>
      <w:r w:rsidRPr="00951E8F">
        <w:rPr>
          <w:rFonts w:ascii="Times New Roman" w:hAnsi="Times New Roman"/>
        </w:rPr>
        <w:t xml:space="preserve"> applied for enforcement of the ICC award, which was allowed by a single bench of the Calcutta High Court </w:t>
      </w:r>
      <w:r w:rsidR="004823C9" w:rsidRPr="00951E8F">
        <w:rPr>
          <w:rFonts w:ascii="Times New Roman" w:hAnsi="Times New Roman"/>
        </w:rPr>
        <w:t>on 10th March 2004</w:t>
      </w:r>
      <w:r w:rsidRPr="00951E8F">
        <w:rPr>
          <w:rFonts w:ascii="Times New Roman" w:hAnsi="Times New Roman"/>
        </w:rPr>
        <w:t xml:space="preserve">. HCL appealed this decision and, on </w:t>
      </w:r>
      <w:r w:rsidR="004823C9" w:rsidRPr="00951E8F">
        <w:rPr>
          <w:rFonts w:ascii="Times New Roman" w:hAnsi="Times New Roman"/>
        </w:rPr>
        <w:t xml:space="preserve">28th </w:t>
      </w:r>
      <w:r w:rsidRPr="00951E8F">
        <w:rPr>
          <w:rFonts w:ascii="Times New Roman" w:hAnsi="Times New Roman"/>
        </w:rPr>
        <w:t xml:space="preserve">July 2004, the division bench declared the ICC award </w:t>
      </w:r>
      <w:r w:rsidR="001C283A" w:rsidRPr="00951E8F">
        <w:rPr>
          <w:rFonts w:ascii="Times New Roman" w:hAnsi="Times New Roman"/>
        </w:rPr>
        <w:t>unenforceable</w:t>
      </w:r>
      <w:r w:rsidRPr="00951E8F">
        <w:rPr>
          <w:rFonts w:ascii="Times New Roman" w:hAnsi="Times New Roman"/>
        </w:rPr>
        <w:t xml:space="preserve"> as long as the ICA </w:t>
      </w:r>
      <w:r w:rsidR="004823C9" w:rsidRPr="00951E8F">
        <w:rPr>
          <w:rFonts w:ascii="Times New Roman" w:hAnsi="Times New Roman"/>
        </w:rPr>
        <w:t>award stood.</w:t>
      </w:r>
      <w:r w:rsidRPr="00951E8F">
        <w:rPr>
          <w:rFonts w:ascii="Times New Roman" w:hAnsi="Times New Roman"/>
        </w:rPr>
        <w:t xml:space="preserve"> </w:t>
      </w:r>
      <w:r w:rsidR="004823C9" w:rsidRPr="00951E8F">
        <w:rPr>
          <w:rFonts w:ascii="Times New Roman" w:hAnsi="Times New Roman"/>
        </w:rPr>
        <w:t xml:space="preserve"> </w:t>
      </w:r>
      <w:r w:rsidRPr="00951E8F">
        <w:rPr>
          <w:rFonts w:ascii="Times New Roman" w:hAnsi="Times New Roman"/>
        </w:rPr>
        <w:t xml:space="preserve">This </w:t>
      </w:r>
      <w:r w:rsidRPr="00951E8F">
        <w:rPr>
          <w:rFonts w:ascii="Times New Roman" w:hAnsi="Times New Roman"/>
        </w:rPr>
        <w:lastRenderedPageBreak/>
        <w:t>judgment was challenged before a two</w:t>
      </w:r>
      <w:r w:rsidRPr="00951E8F">
        <w:rPr>
          <w:rFonts w:ascii="Times New Roman" w:hAnsi="Times New Roman"/>
        </w:rPr>
        <w:softHyphen/>
      </w:r>
      <w:r w:rsidR="004823C9" w:rsidRPr="00951E8F">
        <w:rPr>
          <w:rFonts w:ascii="Times New Roman" w:hAnsi="Times New Roman"/>
        </w:rPr>
        <w:t xml:space="preserve"> </w:t>
      </w:r>
      <w:r w:rsidRPr="00951E8F">
        <w:rPr>
          <w:rFonts w:ascii="Times New Roman" w:hAnsi="Times New Roman"/>
        </w:rPr>
        <w:t>judge bench of the Supreme Court, which referred the matter to a three</w:t>
      </w:r>
      <w:r w:rsidRPr="00951E8F">
        <w:rPr>
          <w:rFonts w:ascii="Times New Roman" w:hAnsi="Times New Roman"/>
        </w:rPr>
        <w:softHyphen/>
      </w:r>
      <w:r w:rsidR="004823C9" w:rsidRPr="00951E8F">
        <w:rPr>
          <w:rFonts w:ascii="Times New Roman" w:hAnsi="Times New Roman"/>
        </w:rPr>
        <w:t xml:space="preserve"> </w:t>
      </w:r>
      <w:r w:rsidRPr="00951E8F">
        <w:rPr>
          <w:rFonts w:ascii="Times New Roman" w:hAnsi="Times New Roman"/>
        </w:rPr>
        <w:t>judge bench in 2006 because of a difference in opinio</w:t>
      </w:r>
      <w:r w:rsidR="004823C9" w:rsidRPr="00951E8F">
        <w:rPr>
          <w:rFonts w:ascii="Times New Roman" w:hAnsi="Times New Roman"/>
        </w:rPr>
        <w:t>n.</w:t>
      </w:r>
    </w:p>
    <w:p w14:paraId="0E4499B0" w14:textId="77777777" w:rsidR="004823C9" w:rsidRPr="00951E8F" w:rsidRDefault="004823C9" w:rsidP="005B3A4D">
      <w:pPr>
        <w:spacing w:line="276" w:lineRule="auto"/>
        <w:contextualSpacing/>
        <w:jc w:val="both"/>
        <w:rPr>
          <w:rFonts w:ascii="Times New Roman" w:hAnsi="Times New Roman"/>
        </w:rPr>
      </w:pPr>
    </w:p>
    <w:p w14:paraId="78C8A2CA" w14:textId="77777777" w:rsidR="004823C9" w:rsidRPr="00951E8F" w:rsidRDefault="004823C9" w:rsidP="005B3A4D">
      <w:pPr>
        <w:widowControl w:val="0"/>
        <w:autoSpaceDE w:val="0"/>
        <w:autoSpaceDN w:val="0"/>
        <w:adjustRightInd w:val="0"/>
        <w:spacing w:after="240" w:line="276" w:lineRule="auto"/>
        <w:contextualSpacing/>
        <w:jc w:val="both"/>
        <w:rPr>
          <w:rFonts w:ascii="Times New Roman" w:hAnsi="Times New Roman"/>
          <w:b/>
          <w:i/>
        </w:rPr>
      </w:pPr>
      <w:r w:rsidRPr="00951E8F">
        <w:rPr>
          <w:rFonts w:ascii="Times New Roman" w:hAnsi="Times New Roman"/>
        </w:rPr>
        <w:t xml:space="preserve">The </w:t>
      </w:r>
      <w:r w:rsidR="001C283A" w:rsidRPr="00951E8F">
        <w:rPr>
          <w:rFonts w:ascii="Times New Roman" w:hAnsi="Times New Roman"/>
        </w:rPr>
        <w:t xml:space="preserve">Indian Supreme Court </w:t>
      </w:r>
      <w:r w:rsidRPr="00951E8F">
        <w:rPr>
          <w:rFonts w:ascii="Times New Roman" w:hAnsi="Times New Roman"/>
        </w:rPr>
        <w:t xml:space="preserve">three judge bench comprised of </w:t>
      </w:r>
      <w:r w:rsidR="00C24895" w:rsidRPr="00951E8F">
        <w:rPr>
          <w:rFonts w:ascii="Times New Roman" w:hAnsi="Times New Roman"/>
        </w:rPr>
        <w:t xml:space="preserve">Justice Madan B. </w:t>
      </w:r>
      <w:proofErr w:type="spellStart"/>
      <w:r w:rsidR="00C24895" w:rsidRPr="00951E8F">
        <w:rPr>
          <w:rFonts w:ascii="Times New Roman" w:hAnsi="Times New Roman"/>
        </w:rPr>
        <w:t>Lokur</w:t>
      </w:r>
      <w:proofErr w:type="spellEnd"/>
      <w:r w:rsidR="00C24895" w:rsidRPr="00951E8F">
        <w:rPr>
          <w:rFonts w:ascii="Times New Roman" w:hAnsi="Times New Roman"/>
        </w:rPr>
        <w:t xml:space="preserve">, Justice R.K. </w:t>
      </w:r>
      <w:proofErr w:type="spellStart"/>
      <w:r w:rsidR="00C24895" w:rsidRPr="00951E8F">
        <w:rPr>
          <w:rFonts w:ascii="Times New Roman" w:hAnsi="Times New Roman"/>
        </w:rPr>
        <w:t>Agrawal</w:t>
      </w:r>
      <w:proofErr w:type="spellEnd"/>
      <w:r w:rsidR="00C24895" w:rsidRPr="00951E8F">
        <w:rPr>
          <w:rFonts w:ascii="Times New Roman" w:hAnsi="Times New Roman"/>
        </w:rPr>
        <w:t xml:space="preserve"> and Justice D.Y. </w:t>
      </w:r>
      <w:proofErr w:type="spellStart"/>
      <w:r w:rsidR="00C24895" w:rsidRPr="00951E8F">
        <w:rPr>
          <w:rFonts w:ascii="Times New Roman" w:hAnsi="Times New Roman"/>
        </w:rPr>
        <w:t>Chandrachud</w:t>
      </w:r>
      <w:proofErr w:type="spellEnd"/>
      <w:r w:rsidR="00C24895" w:rsidRPr="00951E8F">
        <w:rPr>
          <w:rFonts w:ascii="Times New Roman" w:hAnsi="Times New Roman"/>
        </w:rPr>
        <w:t xml:space="preserve"> on 15th December 2016, </w:t>
      </w:r>
      <w:r w:rsidR="00203730" w:rsidRPr="00951E8F">
        <w:rPr>
          <w:rFonts w:ascii="Times New Roman" w:hAnsi="Times New Roman"/>
        </w:rPr>
        <w:t xml:space="preserve">resolved the first question </w:t>
      </w:r>
      <w:r w:rsidR="00203730" w:rsidRPr="00951E8F">
        <w:rPr>
          <w:rFonts w:ascii="Times New Roman" w:hAnsi="Times New Roman"/>
          <w:b/>
          <w:i/>
        </w:rPr>
        <w:t xml:space="preserve">Whether a settlement of disputes or differences through a two-tier arbitration procedure as provided for in Clause 14 of the contract between the parties is permissible under the laws of India?  </w:t>
      </w:r>
      <w:proofErr w:type="gramStart"/>
      <w:r w:rsidR="00203730" w:rsidRPr="00951E8F">
        <w:rPr>
          <w:rFonts w:ascii="Times New Roman" w:hAnsi="Times New Roman"/>
        </w:rPr>
        <w:t>and</w:t>
      </w:r>
      <w:proofErr w:type="gramEnd"/>
      <w:r w:rsidR="00203730" w:rsidRPr="00951E8F">
        <w:rPr>
          <w:rFonts w:ascii="Times New Roman" w:hAnsi="Times New Roman"/>
        </w:rPr>
        <w:t xml:space="preserve"> </w:t>
      </w:r>
      <w:r w:rsidR="00C24895" w:rsidRPr="00951E8F">
        <w:rPr>
          <w:rFonts w:ascii="Times New Roman" w:hAnsi="Times New Roman"/>
        </w:rPr>
        <w:t>held as follows,</w:t>
      </w:r>
    </w:p>
    <w:p w14:paraId="441A25E1" w14:textId="77777777" w:rsidR="00C24895" w:rsidRPr="00951E8F" w:rsidRDefault="00C24895" w:rsidP="005B3A4D">
      <w:pPr>
        <w:spacing w:line="276" w:lineRule="auto"/>
        <w:contextualSpacing/>
        <w:jc w:val="both"/>
        <w:rPr>
          <w:rFonts w:ascii="Times New Roman" w:hAnsi="Times New Roman"/>
        </w:rPr>
      </w:pPr>
    </w:p>
    <w:p w14:paraId="3A2C0460" w14:textId="77777777" w:rsidR="001C283A" w:rsidRPr="00951E8F" w:rsidRDefault="001C283A" w:rsidP="005B3A4D">
      <w:pPr>
        <w:spacing w:line="276" w:lineRule="auto"/>
        <w:ind w:left="2160"/>
        <w:contextualSpacing/>
        <w:jc w:val="both"/>
        <w:rPr>
          <w:rFonts w:ascii="Times New Roman" w:eastAsia="Times New Roman" w:hAnsi="Times New Roman"/>
          <w:b/>
          <w:bCs/>
          <w:color w:val="000000"/>
        </w:rPr>
      </w:pPr>
      <w:r w:rsidRPr="00951E8F">
        <w:rPr>
          <w:rFonts w:ascii="Times New Roman" w:eastAsia="Times New Roman" w:hAnsi="Times New Roman"/>
          <w:b/>
          <w:bCs/>
          <w:color w:val="000000"/>
        </w:rPr>
        <w:t xml:space="preserve">Para.7 </w:t>
      </w:r>
    </w:p>
    <w:p w14:paraId="45B0B655" w14:textId="77777777" w:rsidR="00EC2E9A" w:rsidRPr="00951E8F" w:rsidRDefault="001C283A" w:rsidP="005B3A4D">
      <w:pPr>
        <w:spacing w:line="276" w:lineRule="auto"/>
        <w:ind w:left="2160"/>
        <w:contextualSpacing/>
        <w:jc w:val="both"/>
        <w:rPr>
          <w:rFonts w:ascii="Times New Roman" w:eastAsia="Times New Roman" w:hAnsi="Times New Roman"/>
        </w:rPr>
      </w:pPr>
      <w:r w:rsidRPr="00951E8F">
        <w:rPr>
          <w:rFonts w:ascii="Times New Roman" w:eastAsia="Times New Roman" w:hAnsi="Times New Roman"/>
          <w:color w:val="000000"/>
        </w:rPr>
        <w:t>It</w:t>
      </w:r>
      <w:r w:rsidR="00EC2E9A" w:rsidRPr="00951E8F">
        <w:rPr>
          <w:rFonts w:ascii="Times New Roman" w:eastAsia="Times New Roman" w:hAnsi="Times New Roman"/>
          <w:color w:val="000000"/>
        </w:rPr>
        <w:t xml:space="preserve"> was the contention of learned co</w:t>
      </w:r>
      <w:r w:rsidR="00203730" w:rsidRPr="00951E8F">
        <w:rPr>
          <w:rFonts w:ascii="Times New Roman" w:eastAsia="Times New Roman" w:hAnsi="Times New Roman"/>
          <w:color w:val="000000"/>
        </w:rPr>
        <w:t xml:space="preserve">unsel for </w:t>
      </w:r>
      <w:proofErr w:type="spellStart"/>
      <w:r w:rsidR="00203730" w:rsidRPr="00951E8F">
        <w:rPr>
          <w:rFonts w:ascii="Times New Roman" w:eastAsia="Times New Roman" w:hAnsi="Times New Roman"/>
          <w:color w:val="000000"/>
        </w:rPr>
        <w:t>Centrotrade</w:t>
      </w:r>
      <w:proofErr w:type="spellEnd"/>
      <w:r w:rsidR="00203730" w:rsidRPr="00951E8F">
        <w:rPr>
          <w:rFonts w:ascii="Times New Roman" w:eastAsia="Times New Roman" w:hAnsi="Times New Roman"/>
          <w:color w:val="000000"/>
        </w:rPr>
        <w:t xml:space="preserve"> that the </w:t>
      </w:r>
      <w:r w:rsidR="004D4850" w:rsidRPr="00951E8F">
        <w:rPr>
          <w:rFonts w:ascii="Times New Roman" w:eastAsia="Times New Roman" w:hAnsi="Times New Roman"/>
          <w:i/>
          <w:color w:val="000000"/>
        </w:rPr>
        <w:t xml:space="preserve">‘arbitration </w:t>
      </w:r>
      <w:proofErr w:type="spellStart"/>
      <w:r w:rsidR="004D4850" w:rsidRPr="00951E8F">
        <w:rPr>
          <w:rFonts w:ascii="Times New Roman" w:eastAsia="Times New Roman" w:hAnsi="Times New Roman"/>
          <w:i/>
          <w:color w:val="000000"/>
        </w:rPr>
        <w:t>result’</w:t>
      </w:r>
      <w:r w:rsidR="00EC2E9A" w:rsidRPr="00951E8F">
        <w:rPr>
          <w:rFonts w:ascii="Times New Roman" w:eastAsia="Times New Roman" w:hAnsi="Times New Roman"/>
          <w:color w:val="000000"/>
        </w:rPr>
        <w:t>in</w:t>
      </w:r>
      <w:proofErr w:type="spellEnd"/>
      <w:r w:rsidR="00EC2E9A" w:rsidRPr="00951E8F">
        <w:rPr>
          <w:rFonts w:ascii="Times New Roman" w:eastAsia="Times New Roman" w:hAnsi="Times New Roman"/>
          <w:color w:val="000000"/>
        </w:rPr>
        <w:t xml:space="preserve"> India was not an award as conventionally understood with reference to arbitration, but merely a </w:t>
      </w:r>
      <w:r w:rsidR="004D4850" w:rsidRPr="00951E8F">
        <w:rPr>
          <w:rFonts w:ascii="Times New Roman" w:eastAsia="Times New Roman" w:hAnsi="Times New Roman"/>
          <w:i/>
          <w:color w:val="000000"/>
        </w:rPr>
        <w:t xml:space="preserve">‘result’ </w:t>
      </w:r>
      <w:r w:rsidR="00EC2E9A" w:rsidRPr="00951E8F">
        <w:rPr>
          <w:rFonts w:ascii="Times New Roman" w:eastAsia="Times New Roman" w:hAnsi="Times New Roman"/>
          <w:color w:val="000000"/>
        </w:rPr>
        <w:t xml:space="preserve">of arbitration given by an arbitration panel of the Indian Council of Arbitration and nothing more. We are not at all inclined to accept this interpretation. While Clause 14 of the contract may have used the expression </w:t>
      </w:r>
      <w:r w:rsidR="004D4850" w:rsidRPr="00951E8F">
        <w:rPr>
          <w:rFonts w:ascii="Times New Roman" w:eastAsia="Times New Roman" w:hAnsi="Times New Roman"/>
          <w:i/>
          <w:color w:val="000000"/>
        </w:rPr>
        <w:t xml:space="preserve">‘arbitration result’ </w:t>
      </w:r>
      <w:r w:rsidR="00EC2E9A" w:rsidRPr="00951E8F">
        <w:rPr>
          <w:rFonts w:ascii="Times New Roman" w:eastAsia="Times New Roman" w:hAnsi="Times New Roman"/>
          <w:color w:val="000000"/>
        </w:rPr>
        <w:t xml:space="preserve">and not the expression </w:t>
      </w:r>
      <w:r w:rsidR="004D4850" w:rsidRPr="00951E8F">
        <w:rPr>
          <w:rFonts w:ascii="Times New Roman" w:eastAsia="Times New Roman" w:hAnsi="Times New Roman"/>
          <w:i/>
          <w:color w:val="000000"/>
        </w:rPr>
        <w:t xml:space="preserve">‘arbitration </w:t>
      </w:r>
      <w:proofErr w:type="gramStart"/>
      <w:r w:rsidR="004D4850" w:rsidRPr="00951E8F">
        <w:rPr>
          <w:rFonts w:ascii="Times New Roman" w:eastAsia="Times New Roman" w:hAnsi="Times New Roman"/>
          <w:i/>
          <w:color w:val="000000"/>
        </w:rPr>
        <w:t xml:space="preserve">award’ </w:t>
      </w:r>
      <w:r w:rsidR="00EC2E9A" w:rsidRPr="00951E8F">
        <w:rPr>
          <w:rFonts w:ascii="Times New Roman" w:eastAsia="Times New Roman" w:hAnsi="Times New Roman"/>
          <w:color w:val="000000"/>
        </w:rPr>
        <w:t xml:space="preserve"> clearly</w:t>
      </w:r>
      <w:proofErr w:type="gramEnd"/>
      <w:r w:rsidR="00EC2E9A" w:rsidRPr="00951E8F">
        <w:rPr>
          <w:rFonts w:ascii="Times New Roman" w:eastAsia="Times New Roman" w:hAnsi="Times New Roman"/>
          <w:color w:val="000000"/>
        </w:rPr>
        <w:t xml:space="preserve"> the parties' intention was that the </w:t>
      </w:r>
      <w:r w:rsidR="004D4850" w:rsidRPr="00951E8F">
        <w:rPr>
          <w:rFonts w:ascii="Times New Roman" w:eastAsia="Times New Roman" w:hAnsi="Times New Roman"/>
          <w:i/>
          <w:color w:val="000000"/>
        </w:rPr>
        <w:t>‘arbitration result’</w:t>
      </w:r>
      <w:r w:rsidR="00EC2E9A" w:rsidRPr="00951E8F">
        <w:rPr>
          <w:rFonts w:ascii="Times New Roman" w:eastAsia="Times New Roman" w:hAnsi="Times New Roman"/>
          <w:color w:val="000000"/>
        </w:rPr>
        <w:t xml:space="preserve"> would be an award or at least in the nature of an award rendered by the arbitration panel of the Indian Council of Arbitration. The proceedings before the arbitration panel were intended to be structured and held in accordance with the Rules of Arbitration of the Indian Council of Arbitration. The result of such proceedings would inevitably be an arbitration award, regardless of the nomenclature used by the parties. It is di</w:t>
      </w:r>
      <w:r w:rsidR="00203730" w:rsidRPr="00951E8F">
        <w:rPr>
          <w:rFonts w:ascii="Times New Roman" w:eastAsia="Times New Roman" w:hAnsi="Times New Roman"/>
          <w:color w:val="000000"/>
        </w:rPr>
        <w:t xml:space="preserve">fficult to interpret the words </w:t>
      </w:r>
      <w:r w:rsidR="004D4850" w:rsidRPr="00951E8F">
        <w:rPr>
          <w:rFonts w:ascii="Times New Roman" w:eastAsia="Times New Roman" w:hAnsi="Times New Roman"/>
          <w:i/>
          <w:color w:val="000000"/>
        </w:rPr>
        <w:t>‘arbitration result’</w:t>
      </w:r>
      <w:r w:rsidR="00EC2E9A" w:rsidRPr="00951E8F">
        <w:rPr>
          <w:rFonts w:ascii="Times New Roman" w:eastAsia="Times New Roman" w:hAnsi="Times New Roman"/>
          <w:color w:val="000000"/>
        </w:rPr>
        <w:t xml:space="preserve"> other than meaning an arbitration award.</w:t>
      </w:r>
    </w:p>
    <w:p w14:paraId="274FC474" w14:textId="77777777" w:rsidR="00C24895" w:rsidRPr="00951E8F" w:rsidRDefault="00C24895" w:rsidP="005B3A4D">
      <w:pPr>
        <w:spacing w:line="276" w:lineRule="auto"/>
        <w:ind w:left="2160"/>
        <w:contextualSpacing/>
        <w:jc w:val="both"/>
        <w:rPr>
          <w:rFonts w:ascii="Times New Roman" w:hAnsi="Times New Roman"/>
        </w:rPr>
      </w:pPr>
    </w:p>
    <w:p w14:paraId="3A306D5C" w14:textId="77777777" w:rsidR="001C283A" w:rsidRPr="00951E8F" w:rsidRDefault="001C283A" w:rsidP="005B3A4D">
      <w:pPr>
        <w:spacing w:line="276" w:lineRule="auto"/>
        <w:ind w:left="2160"/>
        <w:contextualSpacing/>
        <w:jc w:val="both"/>
        <w:rPr>
          <w:rFonts w:ascii="Times New Roman" w:eastAsia="Times New Roman" w:hAnsi="Times New Roman"/>
          <w:b/>
          <w:bCs/>
          <w:color w:val="000000"/>
        </w:rPr>
      </w:pPr>
      <w:r w:rsidRPr="00951E8F">
        <w:rPr>
          <w:rFonts w:ascii="Times New Roman" w:eastAsia="Times New Roman" w:hAnsi="Times New Roman"/>
          <w:b/>
          <w:bCs/>
          <w:color w:val="000000"/>
        </w:rPr>
        <w:t>Para.</w:t>
      </w:r>
      <w:r w:rsidR="00EC2E9A" w:rsidRPr="00951E8F">
        <w:rPr>
          <w:rFonts w:ascii="Times New Roman" w:eastAsia="Times New Roman" w:hAnsi="Times New Roman"/>
          <w:b/>
          <w:bCs/>
          <w:color w:val="000000"/>
        </w:rPr>
        <w:t>8 </w:t>
      </w:r>
    </w:p>
    <w:p w14:paraId="6EE02661" w14:textId="77777777" w:rsidR="00EC2E9A" w:rsidRPr="00951E8F" w:rsidRDefault="00EC2E9A" w:rsidP="005B3A4D">
      <w:pPr>
        <w:spacing w:line="276" w:lineRule="auto"/>
        <w:ind w:left="2160"/>
        <w:contextualSpacing/>
        <w:jc w:val="both"/>
        <w:rPr>
          <w:rFonts w:ascii="Times New Roman" w:eastAsia="Times New Roman" w:hAnsi="Times New Roman"/>
        </w:rPr>
      </w:pPr>
      <w:r w:rsidRPr="00951E8F">
        <w:rPr>
          <w:rFonts w:ascii="Times New Roman" w:eastAsia="Times New Roman" w:hAnsi="Times New Roman"/>
          <w:color w:val="000000"/>
        </w:rPr>
        <w:t xml:space="preserve">We say this also because if the submission of learned counsel for </w:t>
      </w:r>
      <w:proofErr w:type="spellStart"/>
      <w:r w:rsidRPr="00951E8F">
        <w:rPr>
          <w:rFonts w:ascii="Times New Roman" w:eastAsia="Times New Roman" w:hAnsi="Times New Roman"/>
          <w:color w:val="000000"/>
        </w:rPr>
        <w:t>Centrotrade</w:t>
      </w:r>
      <w:proofErr w:type="spellEnd"/>
      <w:r w:rsidRPr="00951E8F">
        <w:rPr>
          <w:rFonts w:ascii="Times New Roman" w:eastAsia="Times New Roman" w:hAnsi="Times New Roman"/>
          <w:color w:val="000000"/>
        </w:rPr>
        <w:t xml:space="preserve"> were to be accepted, it would mean that if both the contracting parties were satisfied with the</w:t>
      </w:r>
      <w:r w:rsidR="004D4850" w:rsidRPr="00951E8F">
        <w:rPr>
          <w:rFonts w:ascii="Times New Roman" w:eastAsia="Times New Roman" w:hAnsi="Times New Roman"/>
          <w:color w:val="000000"/>
        </w:rPr>
        <w:t xml:space="preserve"> </w:t>
      </w:r>
      <w:r w:rsidR="004D4850" w:rsidRPr="00951E8F">
        <w:rPr>
          <w:rFonts w:ascii="Times New Roman" w:eastAsia="Times New Roman" w:hAnsi="Times New Roman"/>
          <w:i/>
          <w:color w:val="000000"/>
        </w:rPr>
        <w:t>‘arbitration result’</w:t>
      </w:r>
      <w:r w:rsidRPr="00951E8F">
        <w:rPr>
          <w:rFonts w:ascii="Times New Roman" w:eastAsia="Times New Roman" w:hAnsi="Times New Roman"/>
          <w:color w:val="000000"/>
        </w:rPr>
        <w:t xml:space="preserve"> (or negatively put, if neither party was dissatisfied with the `arbitration result') there would </w:t>
      </w:r>
      <w:r w:rsidR="00203730" w:rsidRPr="00951E8F">
        <w:rPr>
          <w:rFonts w:ascii="Times New Roman" w:eastAsia="Times New Roman" w:hAnsi="Times New Roman"/>
          <w:color w:val="000000"/>
        </w:rPr>
        <w:t xml:space="preserve">be no method of enforcing that </w:t>
      </w:r>
      <w:r w:rsidR="004D4850" w:rsidRPr="00951E8F">
        <w:rPr>
          <w:rFonts w:ascii="Times New Roman" w:eastAsia="Times New Roman" w:hAnsi="Times New Roman"/>
          <w:i/>
          <w:color w:val="000000"/>
        </w:rPr>
        <w:t>‘arbitration result’</w:t>
      </w:r>
      <w:r w:rsidRPr="00951E8F">
        <w:rPr>
          <w:rFonts w:ascii="Times New Roman" w:eastAsia="Times New Roman" w:hAnsi="Times New Roman"/>
          <w:color w:val="000000"/>
        </w:rPr>
        <w:t xml:space="preserve"> should such enforcement become necessary. This would create a </w:t>
      </w:r>
      <w:r w:rsidR="00203730" w:rsidRPr="00951E8F">
        <w:rPr>
          <w:rFonts w:ascii="Times New Roman" w:eastAsia="Times New Roman" w:hAnsi="Times New Roman"/>
          <w:color w:val="000000"/>
        </w:rPr>
        <w:t xml:space="preserve">vacuum post the </w:t>
      </w:r>
      <w:r w:rsidR="004D4850" w:rsidRPr="00951E8F">
        <w:rPr>
          <w:rFonts w:ascii="Times New Roman" w:eastAsia="Times New Roman" w:hAnsi="Times New Roman"/>
          <w:i/>
          <w:color w:val="000000"/>
        </w:rPr>
        <w:t>‘arbitration result’</w:t>
      </w:r>
      <w:r w:rsidRPr="00951E8F">
        <w:rPr>
          <w:rFonts w:ascii="Times New Roman" w:eastAsia="Times New Roman" w:hAnsi="Times New Roman"/>
          <w:color w:val="000000"/>
        </w:rPr>
        <w:t xml:space="preserve">. It </w:t>
      </w:r>
      <w:r w:rsidR="00203730" w:rsidRPr="00951E8F">
        <w:rPr>
          <w:rFonts w:ascii="Times New Roman" w:eastAsia="Times New Roman" w:hAnsi="Times New Roman"/>
          <w:color w:val="000000"/>
        </w:rPr>
        <w:t xml:space="preserve">is to avoid such a vacuum that </w:t>
      </w:r>
      <w:r w:rsidR="004D4850" w:rsidRPr="00951E8F">
        <w:rPr>
          <w:rFonts w:ascii="Times New Roman" w:eastAsia="Times New Roman" w:hAnsi="Times New Roman"/>
          <w:i/>
          <w:color w:val="000000"/>
        </w:rPr>
        <w:t>‘arbitration result’</w:t>
      </w:r>
      <w:r w:rsidRPr="00951E8F">
        <w:rPr>
          <w:rFonts w:ascii="Times New Roman" w:eastAsia="Times New Roman" w:hAnsi="Times New Roman"/>
          <w:color w:val="000000"/>
        </w:rPr>
        <w:t xml:space="preserve"> must be understood to mean an award of the arbitration panel of the Indian Council of Arbitration and an award that could be enforced in accordance with the laws of India, that is, the Arbitration and Conciliation Ac</w:t>
      </w:r>
      <w:r w:rsidR="00203730" w:rsidRPr="00951E8F">
        <w:rPr>
          <w:rFonts w:ascii="Times New Roman" w:eastAsia="Times New Roman" w:hAnsi="Times New Roman"/>
          <w:color w:val="000000"/>
        </w:rPr>
        <w:t>t, 1996 (for short ‘the A&amp;C Act’</w:t>
      </w:r>
      <w:r w:rsidRPr="00951E8F">
        <w:rPr>
          <w:rFonts w:ascii="Times New Roman" w:eastAsia="Times New Roman" w:hAnsi="Times New Roman"/>
          <w:color w:val="000000"/>
        </w:rPr>
        <w:t>).</w:t>
      </w:r>
    </w:p>
    <w:p w14:paraId="282D4DC7" w14:textId="77777777" w:rsidR="00EC2E9A" w:rsidRPr="00951E8F" w:rsidRDefault="00EC2E9A" w:rsidP="005B3A4D">
      <w:pPr>
        <w:spacing w:line="276" w:lineRule="auto"/>
        <w:ind w:left="2160"/>
        <w:contextualSpacing/>
        <w:jc w:val="both"/>
        <w:rPr>
          <w:rFonts w:ascii="Times New Roman" w:hAnsi="Times New Roman"/>
        </w:rPr>
      </w:pPr>
    </w:p>
    <w:p w14:paraId="6D0D8C8E" w14:textId="77777777" w:rsidR="001C283A" w:rsidRPr="00951E8F" w:rsidRDefault="001C283A" w:rsidP="005B3A4D">
      <w:pPr>
        <w:spacing w:line="276" w:lineRule="auto"/>
        <w:ind w:left="2160"/>
        <w:contextualSpacing/>
        <w:jc w:val="both"/>
        <w:rPr>
          <w:rFonts w:ascii="Times New Roman" w:eastAsia="Times New Roman" w:hAnsi="Times New Roman"/>
          <w:b/>
          <w:bCs/>
          <w:color w:val="000000"/>
        </w:rPr>
      </w:pPr>
      <w:r w:rsidRPr="00951E8F">
        <w:rPr>
          <w:rFonts w:ascii="Times New Roman" w:eastAsia="Times New Roman" w:hAnsi="Times New Roman"/>
          <w:b/>
          <w:bCs/>
          <w:color w:val="000000"/>
        </w:rPr>
        <w:lastRenderedPageBreak/>
        <w:t>Para.</w:t>
      </w:r>
      <w:r w:rsidR="00EC2E9A" w:rsidRPr="00951E8F">
        <w:rPr>
          <w:rFonts w:ascii="Times New Roman" w:eastAsia="Times New Roman" w:hAnsi="Times New Roman"/>
          <w:b/>
          <w:bCs/>
          <w:color w:val="000000"/>
        </w:rPr>
        <w:t>12 </w:t>
      </w:r>
    </w:p>
    <w:p w14:paraId="3BD60571" w14:textId="77777777" w:rsidR="00EC2E9A" w:rsidRPr="00951E8F" w:rsidRDefault="00EC2E9A" w:rsidP="005B3A4D">
      <w:pPr>
        <w:spacing w:line="276" w:lineRule="auto"/>
        <w:ind w:left="2160"/>
        <w:contextualSpacing/>
        <w:jc w:val="both"/>
        <w:rPr>
          <w:rFonts w:ascii="Times New Roman" w:eastAsia="Times New Roman" w:hAnsi="Times New Roman"/>
        </w:rPr>
      </w:pPr>
      <w:r w:rsidRPr="00951E8F">
        <w:rPr>
          <w:rFonts w:ascii="Times New Roman" w:eastAsia="Times New Roman" w:hAnsi="Times New Roman"/>
          <w:color w:val="000000"/>
        </w:rPr>
        <w:t>The arbitration result in the present case has all the elements and ingredients of an arbitration award. Taking also into consideration the view expressed by the above authors, we have no hes</w:t>
      </w:r>
      <w:r w:rsidR="00203730" w:rsidRPr="00951E8F">
        <w:rPr>
          <w:rFonts w:ascii="Times New Roman" w:eastAsia="Times New Roman" w:hAnsi="Times New Roman"/>
          <w:color w:val="000000"/>
        </w:rPr>
        <w:t xml:space="preserve">itation in concluding that the </w:t>
      </w:r>
      <w:r w:rsidR="00203730" w:rsidRPr="00951E8F">
        <w:rPr>
          <w:rFonts w:ascii="Times New Roman" w:eastAsia="Times New Roman" w:hAnsi="Times New Roman"/>
          <w:i/>
          <w:color w:val="000000"/>
        </w:rPr>
        <w:t>‘arbitration result’</w:t>
      </w:r>
      <w:r w:rsidRPr="00951E8F">
        <w:rPr>
          <w:rFonts w:ascii="Times New Roman" w:eastAsia="Times New Roman" w:hAnsi="Times New Roman"/>
          <w:color w:val="000000"/>
        </w:rPr>
        <w:t xml:space="preserve"> in the first part of Clause 14 of the contract must mean an arbitration award given by the arbitral panel of the Indian Council of Arbitration. To this extent we disagree with learned counsel for </w:t>
      </w:r>
      <w:proofErr w:type="spellStart"/>
      <w:r w:rsidRPr="00951E8F">
        <w:rPr>
          <w:rFonts w:ascii="Times New Roman" w:eastAsia="Times New Roman" w:hAnsi="Times New Roman"/>
          <w:color w:val="000000"/>
        </w:rPr>
        <w:t>Centrotrade</w:t>
      </w:r>
      <w:proofErr w:type="spellEnd"/>
      <w:r w:rsidRPr="00951E8F">
        <w:rPr>
          <w:rFonts w:ascii="Times New Roman" w:eastAsia="Times New Roman" w:hAnsi="Times New Roman"/>
          <w:color w:val="000000"/>
        </w:rPr>
        <w:t xml:space="preserve"> but agree with learned counsel for Hindustan Copper Limited (hereafter referred to as `HCL').</w:t>
      </w:r>
    </w:p>
    <w:p w14:paraId="1C9BA295" w14:textId="77777777" w:rsidR="00EC2E9A" w:rsidRPr="00951E8F" w:rsidRDefault="00EC2E9A" w:rsidP="005B3A4D">
      <w:pPr>
        <w:spacing w:line="276" w:lineRule="auto"/>
        <w:ind w:left="2160"/>
        <w:contextualSpacing/>
        <w:jc w:val="both"/>
        <w:rPr>
          <w:rFonts w:ascii="Times New Roman" w:hAnsi="Times New Roman"/>
        </w:rPr>
      </w:pPr>
    </w:p>
    <w:p w14:paraId="19B90280" w14:textId="77777777" w:rsidR="001C283A" w:rsidRPr="00951E8F" w:rsidRDefault="001C283A" w:rsidP="005B3A4D">
      <w:pPr>
        <w:spacing w:line="276" w:lineRule="auto"/>
        <w:ind w:left="2160"/>
        <w:contextualSpacing/>
        <w:jc w:val="both"/>
        <w:rPr>
          <w:rFonts w:ascii="Times New Roman" w:eastAsia="Times New Roman" w:hAnsi="Times New Roman"/>
          <w:b/>
          <w:bCs/>
          <w:color w:val="000000"/>
        </w:rPr>
      </w:pPr>
      <w:r w:rsidRPr="00951E8F">
        <w:rPr>
          <w:rFonts w:ascii="Times New Roman" w:eastAsia="Times New Roman" w:hAnsi="Times New Roman"/>
          <w:b/>
          <w:bCs/>
          <w:color w:val="000000"/>
        </w:rPr>
        <w:t>Para.</w:t>
      </w:r>
      <w:r w:rsidR="00EC2E9A" w:rsidRPr="00951E8F">
        <w:rPr>
          <w:rFonts w:ascii="Times New Roman" w:eastAsia="Times New Roman" w:hAnsi="Times New Roman"/>
          <w:b/>
          <w:bCs/>
          <w:color w:val="000000"/>
        </w:rPr>
        <w:t>13 </w:t>
      </w:r>
    </w:p>
    <w:p w14:paraId="69A1B034" w14:textId="77777777" w:rsidR="00EC2E9A" w:rsidRPr="00951E8F" w:rsidRDefault="00EC2E9A" w:rsidP="005B3A4D">
      <w:pPr>
        <w:spacing w:line="276" w:lineRule="auto"/>
        <w:ind w:left="2160"/>
        <w:contextualSpacing/>
        <w:jc w:val="both"/>
        <w:rPr>
          <w:rFonts w:ascii="Times New Roman" w:eastAsia="Times New Roman" w:hAnsi="Times New Roman"/>
        </w:rPr>
      </w:pPr>
      <w:r w:rsidRPr="00951E8F">
        <w:rPr>
          <w:rFonts w:ascii="Times New Roman" w:eastAsia="Times New Roman" w:hAnsi="Times New Roman"/>
          <w:color w:val="000000"/>
        </w:rPr>
        <w:t xml:space="preserve">The alternative submission of learned counsel for </w:t>
      </w:r>
      <w:proofErr w:type="spellStart"/>
      <w:r w:rsidRPr="00951E8F">
        <w:rPr>
          <w:rFonts w:ascii="Times New Roman" w:eastAsia="Times New Roman" w:hAnsi="Times New Roman"/>
          <w:color w:val="000000"/>
        </w:rPr>
        <w:t>Centrotrade</w:t>
      </w:r>
      <w:proofErr w:type="spellEnd"/>
      <w:r w:rsidRPr="00951E8F">
        <w:rPr>
          <w:rFonts w:ascii="Times New Roman" w:eastAsia="Times New Roman" w:hAnsi="Times New Roman"/>
          <w:color w:val="000000"/>
        </w:rPr>
        <w:t xml:space="preserve"> is that in any event on being dissatisfied with the arbitration result, the second part of Clause 14 of the agreement entitles the aggrieved party to appeal to a second arbitration in London in accordance with the Rules of Conciliation and Arbitration of the International Chamber of Commerce. However, according to learned counsel for HCL the second part of Clause 14 of the contract is contrary to the laws of India.</w:t>
      </w:r>
    </w:p>
    <w:p w14:paraId="7AF1B492" w14:textId="77777777" w:rsidR="00EC2E9A" w:rsidRPr="00951E8F" w:rsidRDefault="00EC2E9A" w:rsidP="005B3A4D">
      <w:pPr>
        <w:spacing w:line="276" w:lineRule="auto"/>
        <w:ind w:left="2160"/>
        <w:contextualSpacing/>
        <w:jc w:val="both"/>
        <w:rPr>
          <w:rFonts w:ascii="Times New Roman" w:hAnsi="Times New Roman"/>
        </w:rPr>
      </w:pPr>
    </w:p>
    <w:p w14:paraId="25A944A5" w14:textId="77777777" w:rsidR="001C283A" w:rsidRPr="00951E8F" w:rsidRDefault="001C283A" w:rsidP="005B3A4D">
      <w:pPr>
        <w:spacing w:line="276" w:lineRule="auto"/>
        <w:ind w:left="2160"/>
        <w:contextualSpacing/>
        <w:jc w:val="both"/>
        <w:rPr>
          <w:rFonts w:ascii="Times New Roman" w:eastAsia="Times New Roman" w:hAnsi="Times New Roman"/>
          <w:b/>
          <w:bCs/>
          <w:color w:val="000000"/>
        </w:rPr>
      </w:pPr>
      <w:r w:rsidRPr="00951E8F">
        <w:rPr>
          <w:rFonts w:ascii="Times New Roman" w:eastAsia="Times New Roman" w:hAnsi="Times New Roman"/>
          <w:b/>
          <w:bCs/>
          <w:color w:val="000000"/>
        </w:rPr>
        <w:t>Para.</w:t>
      </w:r>
      <w:r w:rsidR="00064645" w:rsidRPr="00951E8F">
        <w:rPr>
          <w:rFonts w:ascii="Times New Roman" w:eastAsia="Times New Roman" w:hAnsi="Times New Roman"/>
          <w:b/>
          <w:bCs/>
          <w:color w:val="000000"/>
        </w:rPr>
        <w:t>14 </w:t>
      </w:r>
    </w:p>
    <w:p w14:paraId="69BB2E4D" w14:textId="77777777" w:rsidR="00064645" w:rsidRPr="00951E8F" w:rsidRDefault="00064645" w:rsidP="005B3A4D">
      <w:pPr>
        <w:spacing w:line="276" w:lineRule="auto"/>
        <w:ind w:left="2160"/>
        <w:contextualSpacing/>
        <w:jc w:val="both"/>
        <w:rPr>
          <w:rFonts w:ascii="Times New Roman" w:eastAsia="Times New Roman" w:hAnsi="Times New Roman"/>
        </w:rPr>
      </w:pPr>
      <w:r w:rsidRPr="00951E8F">
        <w:rPr>
          <w:rFonts w:ascii="Times New Roman" w:eastAsia="Times New Roman" w:hAnsi="Times New Roman"/>
          <w:color w:val="000000"/>
        </w:rPr>
        <w:t xml:space="preserve">In our opinion the plain language of Clause 14 specifically provides for a second arbitration, in the form of an </w:t>
      </w:r>
      <w:r w:rsidR="001C283A" w:rsidRPr="00951E8F">
        <w:rPr>
          <w:rFonts w:ascii="Times New Roman" w:eastAsia="Times New Roman" w:hAnsi="Times New Roman"/>
          <w:i/>
          <w:color w:val="000000"/>
        </w:rPr>
        <w:t xml:space="preserve">‘appeal’ </w:t>
      </w:r>
      <w:r w:rsidRPr="00951E8F">
        <w:rPr>
          <w:rFonts w:ascii="Times New Roman" w:eastAsia="Times New Roman" w:hAnsi="Times New Roman"/>
          <w:color w:val="000000"/>
        </w:rPr>
        <w:t xml:space="preserve">against the award of the arbitration panel of the Indian Council of Arbitration. We do not think it necessary to </w:t>
      </w:r>
      <w:proofErr w:type="spellStart"/>
      <w:r w:rsidRPr="00951E8F">
        <w:rPr>
          <w:rFonts w:ascii="Times New Roman" w:eastAsia="Times New Roman" w:hAnsi="Times New Roman"/>
          <w:color w:val="000000"/>
        </w:rPr>
        <w:t>labour</w:t>
      </w:r>
      <w:proofErr w:type="spellEnd"/>
      <w:r w:rsidRPr="00951E8F">
        <w:rPr>
          <w:rFonts w:ascii="Times New Roman" w:eastAsia="Times New Roman" w:hAnsi="Times New Roman"/>
          <w:color w:val="000000"/>
        </w:rPr>
        <w:t xml:space="preserve"> on this issue, given the express words used in Clause 14. For the record, we may note that learned counsel for HCL spent considerable time on explaining that the right to file an appeal can only be created by a statute and not by an agreement between the parties. This may be so in respect of litigation initiated in courts under a statute or for the enforcement of common law rights, but that does not prevent parties from entering into an agreement providing for non-statutory appeals so that their disputes and differences could preferably be settled without resort to court processes.</w:t>
      </w:r>
    </w:p>
    <w:p w14:paraId="4CEC414C" w14:textId="77777777" w:rsidR="00EC2E9A" w:rsidRPr="00951E8F" w:rsidRDefault="00EC2E9A" w:rsidP="005B3A4D">
      <w:pPr>
        <w:spacing w:line="276" w:lineRule="auto"/>
        <w:ind w:left="2160"/>
        <w:contextualSpacing/>
        <w:jc w:val="both"/>
        <w:rPr>
          <w:rFonts w:ascii="Times New Roman" w:hAnsi="Times New Roman"/>
        </w:rPr>
      </w:pPr>
    </w:p>
    <w:p w14:paraId="1E91EE15"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15 </w:t>
      </w:r>
    </w:p>
    <w:p w14:paraId="5F675D90" w14:textId="77777777" w:rsidR="00064645" w:rsidRPr="00951E8F" w:rsidRDefault="001C283A"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However, </w:t>
      </w:r>
      <w:r w:rsidR="00064645" w:rsidRPr="00951E8F">
        <w:rPr>
          <w:rFonts w:ascii="Times New Roman" w:hAnsi="Times New Roman"/>
          <w:color w:val="000000"/>
          <w:sz w:val="24"/>
          <w:szCs w:val="24"/>
        </w:rPr>
        <w:t xml:space="preserve">what does require serious consideration is the submission of learned counsel for HCL that the provision for an appellate arbitration in Clause 14 is prohibited by the laws of India on three counts: the provisions of the A&amp;C Act do not sanction an appellate arbitration; there is an implied prohibition </w:t>
      </w:r>
      <w:r w:rsidR="00064645" w:rsidRPr="00951E8F">
        <w:rPr>
          <w:rFonts w:ascii="Times New Roman" w:hAnsi="Times New Roman"/>
          <w:color w:val="000000"/>
          <w:sz w:val="24"/>
          <w:szCs w:val="24"/>
        </w:rPr>
        <w:lastRenderedPageBreak/>
        <w:t xml:space="preserve">to an appellate arbitration in the A&amp;C Act; and an appellate arbitration is even otherwise contrary to public policy. </w:t>
      </w:r>
      <w:proofErr w:type="gramStart"/>
      <w:r w:rsidR="00064645" w:rsidRPr="00951E8F">
        <w:rPr>
          <w:rFonts w:ascii="Times New Roman" w:hAnsi="Times New Roman"/>
          <w:color w:val="000000"/>
          <w:sz w:val="24"/>
          <w:szCs w:val="24"/>
        </w:rPr>
        <w:t>Appellate arbitration and the A&amp;C Act</w:t>
      </w:r>
      <w:r w:rsidRPr="00951E8F">
        <w:rPr>
          <w:rFonts w:ascii="Times New Roman" w:hAnsi="Times New Roman"/>
          <w:color w:val="000000"/>
          <w:sz w:val="24"/>
          <w:szCs w:val="24"/>
        </w:rPr>
        <w:t>.</w:t>
      </w:r>
      <w:proofErr w:type="gramEnd"/>
    </w:p>
    <w:p w14:paraId="1B7D5786" w14:textId="77777777" w:rsidR="001C283A" w:rsidRPr="00951E8F" w:rsidRDefault="001C283A" w:rsidP="005B3A4D">
      <w:pPr>
        <w:pStyle w:val="NormalWeb"/>
        <w:spacing w:line="276" w:lineRule="auto"/>
        <w:ind w:left="2160"/>
        <w:contextualSpacing/>
        <w:jc w:val="both"/>
        <w:rPr>
          <w:rFonts w:ascii="Times New Roman" w:hAnsi="Times New Roman"/>
          <w:color w:val="000000"/>
          <w:sz w:val="24"/>
          <w:szCs w:val="24"/>
        </w:rPr>
      </w:pPr>
    </w:p>
    <w:p w14:paraId="32936CF9"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bookmarkStart w:id="1" w:name="16"/>
      <w:bookmarkEnd w:id="1"/>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16 </w:t>
      </w:r>
    </w:p>
    <w:p w14:paraId="5CC85643" w14:textId="77777777" w:rsidR="00064645" w:rsidRPr="00951E8F" w:rsidRDefault="00064645"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Before actually discussing the validity of an appellate arbitration in the context of the A&amp;C Act, it might be mentioned that it is doubtful if HCL can even contend that an appellate arbitration is contrary to the laws of India. If this contention is accepted, then it could be argued that HCL entered into a contract with </w:t>
      </w:r>
      <w:proofErr w:type="spellStart"/>
      <w:r w:rsidRPr="00951E8F">
        <w:rPr>
          <w:rFonts w:ascii="Times New Roman" w:hAnsi="Times New Roman"/>
          <w:color w:val="000000"/>
          <w:sz w:val="24"/>
          <w:szCs w:val="24"/>
        </w:rPr>
        <w:t>Centrotrade</w:t>
      </w:r>
      <w:proofErr w:type="spellEnd"/>
      <w:r w:rsidRPr="00951E8F">
        <w:rPr>
          <w:rFonts w:ascii="Times New Roman" w:hAnsi="Times New Roman"/>
          <w:color w:val="000000"/>
          <w:sz w:val="24"/>
          <w:szCs w:val="24"/>
        </w:rPr>
        <w:t xml:space="preserve"> fully conscious and aware that one of the provisions of the contract was contrary to the laws of India. This could amount to HCL playing a fraud on </w:t>
      </w:r>
      <w:proofErr w:type="spellStart"/>
      <w:r w:rsidRPr="00951E8F">
        <w:rPr>
          <w:rFonts w:ascii="Times New Roman" w:hAnsi="Times New Roman"/>
          <w:color w:val="000000"/>
          <w:sz w:val="24"/>
          <w:szCs w:val="24"/>
        </w:rPr>
        <w:t>Centrotrade</w:t>
      </w:r>
      <w:proofErr w:type="spellEnd"/>
      <w:r w:rsidRPr="00951E8F">
        <w:rPr>
          <w:rFonts w:ascii="Times New Roman" w:hAnsi="Times New Roman"/>
          <w:color w:val="000000"/>
          <w:sz w:val="24"/>
          <w:szCs w:val="24"/>
        </w:rPr>
        <w:t xml:space="preserve"> and could have serious long-term implications and ramifications for international commercial contracts with an Indian party.</w:t>
      </w:r>
    </w:p>
    <w:p w14:paraId="0CA21EF6"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p>
    <w:p w14:paraId="428A75F2"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25 </w:t>
      </w:r>
    </w:p>
    <w:p w14:paraId="54DB8FB1" w14:textId="77777777" w:rsidR="00064645" w:rsidRPr="00951E8F" w:rsidRDefault="00064645"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We are unable to appreciate how these provisions come to the aid of learned counsel for HCL. Sub-section (1) of Section 34 of the A&amp;C Act entitles a party to an arbitration to approach a court "</w:t>
      </w:r>
      <w:r w:rsidRPr="00951E8F">
        <w:rPr>
          <w:rFonts w:ascii="Times New Roman" w:hAnsi="Times New Roman"/>
          <w:i/>
          <w:color w:val="000000"/>
          <w:sz w:val="24"/>
          <w:szCs w:val="24"/>
        </w:rPr>
        <w:t>only by an application</w:t>
      </w:r>
      <w:r w:rsidRPr="00951E8F">
        <w:rPr>
          <w:rFonts w:ascii="Times New Roman" w:hAnsi="Times New Roman"/>
          <w:color w:val="000000"/>
          <w:sz w:val="24"/>
          <w:szCs w:val="24"/>
        </w:rPr>
        <w:t>" for setting aside an award. This is sought to be read by learned counsel in a different way to suggest that an award can be set aside only by a court, thereby excluding a two-tier arbitration procedure. If the contention of learned counsel were to be accepted, we would perforce have to read the sub-section quite differently by repositioning the word "</w:t>
      </w:r>
      <w:r w:rsidRPr="00951E8F">
        <w:rPr>
          <w:rFonts w:ascii="Times New Roman" w:hAnsi="Times New Roman"/>
          <w:i/>
          <w:color w:val="000000"/>
          <w:sz w:val="24"/>
          <w:szCs w:val="24"/>
        </w:rPr>
        <w:t>only</w:t>
      </w:r>
      <w:r w:rsidRPr="00951E8F">
        <w:rPr>
          <w:rFonts w:ascii="Times New Roman" w:hAnsi="Times New Roman"/>
          <w:color w:val="000000"/>
          <w:sz w:val="24"/>
          <w:szCs w:val="24"/>
        </w:rPr>
        <w:t>" and the sub-section to read: "Recourse only to a Court against an arbitral award may be made by an application for setting aside such award in accordance with sub-section (2) and sub-section (3)." Or "Recourse against an arbitral award may be made only to a Court by an application for setting aside such award in accordance with sub-section (2) and sub-section (3)." We are afraid we cannot read or redraft the statute in the manner suggested by learned counsel.</w:t>
      </w:r>
    </w:p>
    <w:p w14:paraId="06245DC9"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bookmarkStart w:id="2" w:name="26"/>
      <w:bookmarkStart w:id="3" w:name="27"/>
      <w:bookmarkEnd w:id="2"/>
      <w:bookmarkEnd w:id="3"/>
    </w:p>
    <w:p w14:paraId="3C2E8B63"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27 </w:t>
      </w:r>
    </w:p>
    <w:p w14:paraId="60A6249D" w14:textId="77777777" w:rsidR="00064645" w:rsidRPr="00951E8F" w:rsidRDefault="00064645"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In our opinion, on a combined reading of sub-section (1) of Section 34 of the A&amp;C Act and Section 35 thereof, an arbitral award would be final and binding on the parties unless it is set aside by a competent court on an application made by a party to the arbitral award. This does not exclude the autonomy of the parties to an arbitral award to mutually agree to a procedure whereby the arbitral award might be reconsidered by another </w:t>
      </w:r>
      <w:r w:rsidRPr="00951E8F">
        <w:rPr>
          <w:rFonts w:ascii="Times New Roman" w:hAnsi="Times New Roman"/>
          <w:color w:val="000000"/>
          <w:sz w:val="24"/>
          <w:szCs w:val="24"/>
        </w:rPr>
        <w:lastRenderedPageBreak/>
        <w:t xml:space="preserve">arbitrator or panel of arbitrators by way of an appeal and the result of that appeal is accepted by the parties to be final and binding subject to a challenge provided for by the A&amp;C Act. This is precisely what the parties have in fact agreed upon and we see no difficulty in </w:t>
      </w:r>
      <w:proofErr w:type="spellStart"/>
      <w:r w:rsidRPr="00951E8F">
        <w:rPr>
          <w:rFonts w:ascii="Times New Roman" w:hAnsi="Times New Roman"/>
          <w:color w:val="000000"/>
          <w:sz w:val="24"/>
          <w:szCs w:val="24"/>
        </w:rPr>
        <w:t>honouring</w:t>
      </w:r>
      <w:proofErr w:type="spellEnd"/>
      <w:r w:rsidRPr="00951E8F">
        <w:rPr>
          <w:rFonts w:ascii="Times New Roman" w:hAnsi="Times New Roman"/>
          <w:color w:val="000000"/>
          <w:sz w:val="24"/>
          <w:szCs w:val="24"/>
        </w:rPr>
        <w:t xml:space="preserve"> their mutual decision and accepting the validity of their agreement.</w:t>
      </w:r>
    </w:p>
    <w:p w14:paraId="60D77818"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p>
    <w:p w14:paraId="4527217C"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28 </w:t>
      </w:r>
    </w:p>
    <w:p w14:paraId="093C7A0D" w14:textId="77777777" w:rsidR="00064645" w:rsidRPr="00951E8F" w:rsidRDefault="00064645"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The fact that recourse to a court is available to a party for challenging an award does not ipso facto prohibit the parties from mutually agreeing to a second look at an award with the intention of an early settlement of disputes and differences. The intention of Section 34 of the A&amp;C Act and of the international arbitration community is to avoid subjecting a party to an arbitration agreement to challenges to an award in multiple forums, say by way of proceedings in a civil court as well under the arbitration statute. The intention is not to throttle the autonomy of the parties or preclude them from adopting any other acceptable method of </w:t>
      </w:r>
      <w:proofErr w:type="spellStart"/>
      <w:r w:rsidRPr="00951E8F">
        <w:rPr>
          <w:rFonts w:ascii="Times New Roman" w:hAnsi="Times New Roman"/>
          <w:color w:val="000000"/>
          <w:sz w:val="24"/>
          <w:szCs w:val="24"/>
        </w:rPr>
        <w:t>redressal</w:t>
      </w:r>
      <w:proofErr w:type="spellEnd"/>
      <w:r w:rsidRPr="00951E8F">
        <w:rPr>
          <w:rFonts w:ascii="Times New Roman" w:hAnsi="Times New Roman"/>
          <w:color w:val="000000"/>
          <w:sz w:val="24"/>
          <w:szCs w:val="24"/>
        </w:rPr>
        <w:t xml:space="preserve"> such as an appellate arbitration. In this context, the view expressed in the </w:t>
      </w:r>
      <w:r w:rsidRPr="00951E8F">
        <w:rPr>
          <w:rFonts w:ascii="Times New Roman" w:hAnsi="Times New Roman"/>
          <w:b/>
          <w:color w:val="000000"/>
          <w:sz w:val="24"/>
          <w:szCs w:val="24"/>
        </w:rPr>
        <w:t xml:space="preserve">Analytical Commentary </w:t>
      </w:r>
      <w:proofErr w:type="gramStart"/>
      <w:r w:rsidRPr="00951E8F">
        <w:rPr>
          <w:rFonts w:ascii="Times New Roman" w:hAnsi="Times New Roman"/>
          <w:b/>
          <w:color w:val="000000"/>
          <w:sz w:val="24"/>
          <w:szCs w:val="24"/>
        </w:rPr>
        <w:t>On Draft Text of A</w:t>
      </w:r>
      <w:proofErr w:type="gramEnd"/>
      <w:r w:rsidRPr="00951E8F">
        <w:rPr>
          <w:rFonts w:ascii="Times New Roman" w:hAnsi="Times New Roman"/>
          <w:b/>
          <w:color w:val="000000"/>
          <w:sz w:val="24"/>
          <w:szCs w:val="24"/>
        </w:rPr>
        <w:t xml:space="preserve"> Model Law on International Commercial Arbitration - Report of the Secretary-General</w:t>
      </w:r>
      <w:r w:rsidR="00D30836" w:rsidRPr="00951E8F">
        <w:rPr>
          <w:rStyle w:val="FootnoteReference"/>
          <w:rFonts w:ascii="Times New Roman" w:hAnsi="Times New Roman"/>
          <w:b/>
          <w:color w:val="000000"/>
          <w:sz w:val="24"/>
          <w:szCs w:val="24"/>
        </w:rPr>
        <w:footnoteReference w:id="2"/>
      </w:r>
      <w:r w:rsidRPr="00951E8F">
        <w:rPr>
          <w:rFonts w:ascii="Times New Roman" w:hAnsi="Times New Roman"/>
          <w:color w:val="000000"/>
          <w:sz w:val="24"/>
          <w:szCs w:val="24"/>
        </w:rPr>
        <w:t xml:space="preserve"> is quite relevant. This commentary deals, </w:t>
      </w:r>
      <w:r w:rsidRPr="00951E8F">
        <w:rPr>
          <w:rFonts w:ascii="Times New Roman" w:hAnsi="Times New Roman"/>
          <w:i/>
          <w:color w:val="000000"/>
          <w:sz w:val="24"/>
          <w:szCs w:val="24"/>
        </w:rPr>
        <w:t>inter alia</w:t>
      </w:r>
      <w:r w:rsidRPr="00951E8F">
        <w:rPr>
          <w:rFonts w:ascii="Times New Roman" w:hAnsi="Times New Roman"/>
          <w:color w:val="000000"/>
          <w:sz w:val="24"/>
          <w:szCs w:val="24"/>
        </w:rPr>
        <w:t>, with Article 34(1) of the Model Law on Internat</w:t>
      </w:r>
      <w:r w:rsidR="00D30836" w:rsidRPr="00951E8F">
        <w:rPr>
          <w:rFonts w:ascii="Times New Roman" w:hAnsi="Times New Roman"/>
          <w:color w:val="000000"/>
          <w:sz w:val="24"/>
          <w:szCs w:val="24"/>
        </w:rPr>
        <w:t>ional Commercial Arbitration</w:t>
      </w:r>
      <w:r w:rsidR="00D30836" w:rsidRPr="00951E8F">
        <w:rPr>
          <w:rStyle w:val="FootnoteReference"/>
          <w:rFonts w:ascii="Times New Roman" w:hAnsi="Times New Roman"/>
          <w:color w:val="000000"/>
          <w:sz w:val="24"/>
          <w:szCs w:val="24"/>
        </w:rPr>
        <w:footnoteReference w:id="3"/>
      </w:r>
      <w:r w:rsidRPr="00951E8F">
        <w:rPr>
          <w:rFonts w:ascii="Times New Roman" w:hAnsi="Times New Roman"/>
          <w:color w:val="000000"/>
          <w:sz w:val="24"/>
          <w:szCs w:val="24"/>
        </w:rPr>
        <w:t xml:space="preserve"> and it is stated as follows:</w:t>
      </w:r>
    </w:p>
    <w:p w14:paraId="7022FCB1" w14:textId="77777777" w:rsidR="00064645" w:rsidRPr="00951E8F" w:rsidRDefault="00064645" w:rsidP="005B3A4D">
      <w:pPr>
        <w:pStyle w:val="NormalWeb"/>
        <w:spacing w:line="276" w:lineRule="auto"/>
        <w:ind w:left="288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"1. </w:t>
      </w:r>
      <w:proofErr w:type="gramStart"/>
      <w:r w:rsidRPr="00951E8F">
        <w:rPr>
          <w:rFonts w:ascii="Times New Roman" w:hAnsi="Times New Roman"/>
          <w:b/>
          <w:color w:val="000000"/>
          <w:sz w:val="24"/>
          <w:szCs w:val="24"/>
        </w:rPr>
        <w:t>Existing</w:t>
      </w:r>
      <w:proofErr w:type="gramEnd"/>
      <w:r w:rsidRPr="00951E8F">
        <w:rPr>
          <w:rFonts w:ascii="Times New Roman" w:hAnsi="Times New Roman"/>
          <w:b/>
          <w:color w:val="000000"/>
          <w:sz w:val="24"/>
          <w:szCs w:val="24"/>
        </w:rPr>
        <w:t xml:space="preserve"> national laws provide a variety of actions or remedies available to a party for attacking the award</w:t>
      </w:r>
      <w:r w:rsidRPr="00951E8F">
        <w:rPr>
          <w:rFonts w:ascii="Times New Roman" w:hAnsi="Times New Roman"/>
          <w:color w:val="000000"/>
          <w:sz w:val="24"/>
          <w:szCs w:val="24"/>
        </w:rPr>
        <w:t xml:space="preserve">. Often equating arbitral awards with local court decisions, they set varied and sometimes extremely long periods of time and set forth varied and sometimes long lists of grounds on which the award </w:t>
      </w:r>
      <w:r w:rsidRPr="00951E8F">
        <w:rPr>
          <w:rFonts w:ascii="Times New Roman" w:hAnsi="Times New Roman"/>
          <w:color w:val="000000"/>
          <w:sz w:val="24"/>
          <w:szCs w:val="24"/>
        </w:rPr>
        <w:lastRenderedPageBreak/>
        <w:t>may be attacked. Article 34 is designed to ameliorate this situation by providing only one means of recourse available during a fairly short period of time and for a rather limited number of reasons.</w:t>
      </w:r>
    </w:p>
    <w:p w14:paraId="09450671" w14:textId="77777777" w:rsidR="00064645" w:rsidRPr="00951E8F" w:rsidRDefault="00064645" w:rsidP="005B3A4D">
      <w:pPr>
        <w:pStyle w:val="NormalWeb"/>
        <w:spacing w:line="276" w:lineRule="auto"/>
        <w:ind w:left="288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2. The application for setting aside constitutes the exclusive recourse to a court against the award in the sense that it is the only means for actively attacking the award, i.e. initiating proceedings for judicial review........ Finally, </w:t>
      </w:r>
      <w:r w:rsidRPr="00951E8F">
        <w:rPr>
          <w:rFonts w:ascii="Times New Roman" w:hAnsi="Times New Roman"/>
          <w:b/>
          <w:color w:val="000000"/>
          <w:sz w:val="24"/>
          <w:szCs w:val="24"/>
        </w:rPr>
        <w:t>article 34(l) would not exclude recourse to a second arbitral tribunal, where such appeal within the arbitration system is envisaged (as, e.g., in certain commodity trades)."</w:t>
      </w:r>
      <w:r w:rsidR="00A053F1" w:rsidRPr="00951E8F">
        <w:rPr>
          <w:rStyle w:val="FootnoteReference"/>
          <w:rFonts w:ascii="Times New Roman" w:hAnsi="Times New Roman"/>
          <w:b/>
          <w:color w:val="000000"/>
          <w:sz w:val="24"/>
          <w:szCs w:val="24"/>
        </w:rPr>
        <w:footnoteReference w:id="4"/>
      </w:r>
      <w:r w:rsidRPr="00951E8F">
        <w:rPr>
          <w:rFonts w:ascii="Times New Roman" w:hAnsi="Times New Roman"/>
          <w:color w:val="000000"/>
          <w:sz w:val="24"/>
          <w:szCs w:val="24"/>
        </w:rPr>
        <w:t xml:space="preserve"> [Emphasis supplied by us].</w:t>
      </w:r>
    </w:p>
    <w:p w14:paraId="3814E582" w14:textId="77777777" w:rsidR="00B132A7" w:rsidRPr="00951E8F" w:rsidRDefault="00B132A7" w:rsidP="005B3A4D">
      <w:pPr>
        <w:pStyle w:val="NormalWeb"/>
        <w:spacing w:line="276" w:lineRule="auto"/>
        <w:ind w:left="2160"/>
        <w:contextualSpacing/>
        <w:jc w:val="both"/>
        <w:rPr>
          <w:rFonts w:ascii="Times New Roman" w:hAnsi="Times New Roman"/>
          <w:color w:val="000000"/>
          <w:sz w:val="24"/>
          <w:szCs w:val="24"/>
        </w:rPr>
      </w:pPr>
    </w:p>
    <w:p w14:paraId="14B57882" w14:textId="77777777" w:rsidR="001C283A" w:rsidRPr="00951E8F" w:rsidRDefault="001C283A" w:rsidP="005B3A4D">
      <w:pPr>
        <w:widowControl w:val="0"/>
        <w:autoSpaceDE w:val="0"/>
        <w:autoSpaceDN w:val="0"/>
        <w:adjustRightInd w:val="0"/>
        <w:spacing w:after="240" w:line="276" w:lineRule="auto"/>
        <w:ind w:left="2160"/>
        <w:contextualSpacing/>
        <w:jc w:val="both"/>
        <w:rPr>
          <w:rFonts w:ascii="Times New Roman" w:hAnsi="Times New Roman"/>
          <w:b/>
          <w:bCs/>
          <w:color w:val="000000"/>
        </w:rPr>
      </w:pPr>
      <w:r w:rsidRPr="00951E8F">
        <w:rPr>
          <w:rFonts w:ascii="Times New Roman" w:hAnsi="Times New Roman"/>
          <w:b/>
          <w:bCs/>
          <w:color w:val="000000"/>
        </w:rPr>
        <w:t>Para.29</w:t>
      </w:r>
      <w:r w:rsidR="00B132A7" w:rsidRPr="00951E8F">
        <w:rPr>
          <w:rFonts w:ascii="Times New Roman" w:hAnsi="Times New Roman"/>
          <w:b/>
          <w:bCs/>
          <w:color w:val="000000"/>
        </w:rPr>
        <w:t xml:space="preserve"> </w:t>
      </w:r>
    </w:p>
    <w:p w14:paraId="10DCC342" w14:textId="77777777" w:rsidR="00B132A7" w:rsidRPr="00951E8F" w:rsidRDefault="00B132A7" w:rsidP="005B3A4D">
      <w:pPr>
        <w:widowControl w:val="0"/>
        <w:autoSpaceDE w:val="0"/>
        <w:autoSpaceDN w:val="0"/>
        <w:adjustRightInd w:val="0"/>
        <w:spacing w:after="240" w:line="276" w:lineRule="auto"/>
        <w:ind w:left="2160"/>
        <w:contextualSpacing/>
        <w:jc w:val="both"/>
        <w:rPr>
          <w:rFonts w:ascii="Times New Roman" w:hAnsi="Times New Roman"/>
          <w:bCs/>
          <w:color w:val="000000"/>
        </w:rPr>
      </w:pPr>
      <w:r w:rsidRPr="00951E8F">
        <w:rPr>
          <w:rFonts w:ascii="Times New Roman" w:hAnsi="Times New Roman"/>
          <w:bCs/>
          <w:color w:val="000000"/>
        </w:rPr>
        <w:t xml:space="preserve">Similarly, the </w:t>
      </w:r>
      <w:r w:rsidRPr="00951E8F">
        <w:rPr>
          <w:rFonts w:ascii="Times New Roman" w:hAnsi="Times New Roman"/>
          <w:b/>
          <w:bCs/>
          <w:color w:val="000000"/>
        </w:rPr>
        <w:t>Explanatory Note by the UNCITRAL Secretariat on the 1985 Model Law on International Commercial</w:t>
      </w:r>
      <w:r w:rsidR="00710173" w:rsidRPr="00951E8F">
        <w:rPr>
          <w:rFonts w:ascii="Times New Roman" w:hAnsi="Times New Roman"/>
          <w:b/>
          <w:bCs/>
          <w:color w:val="000000"/>
        </w:rPr>
        <w:t xml:space="preserve"> Arbitration as amended in 2006</w:t>
      </w:r>
      <w:r w:rsidR="00710173" w:rsidRPr="00951E8F">
        <w:rPr>
          <w:rStyle w:val="FootnoteReference"/>
          <w:rFonts w:ascii="Times New Roman" w:hAnsi="Times New Roman"/>
          <w:b/>
          <w:bCs/>
          <w:color w:val="000000"/>
        </w:rPr>
        <w:footnoteReference w:id="5"/>
      </w:r>
      <w:r w:rsidRPr="00951E8F">
        <w:rPr>
          <w:rFonts w:ascii="Times New Roman" w:hAnsi="Times New Roman"/>
          <w:bCs/>
          <w:color w:val="000000"/>
        </w:rPr>
        <w:t xml:space="preserve"> also affirms this position in the following words: </w:t>
      </w:r>
    </w:p>
    <w:p w14:paraId="003B7F04" w14:textId="77777777" w:rsidR="00B132A7" w:rsidRPr="00951E8F" w:rsidRDefault="00B132A7" w:rsidP="005B3A4D">
      <w:pPr>
        <w:widowControl w:val="0"/>
        <w:autoSpaceDE w:val="0"/>
        <w:autoSpaceDN w:val="0"/>
        <w:adjustRightInd w:val="0"/>
        <w:spacing w:after="240" w:line="276" w:lineRule="auto"/>
        <w:ind w:left="2160"/>
        <w:contextualSpacing/>
        <w:jc w:val="both"/>
        <w:rPr>
          <w:rFonts w:ascii="Times New Roman" w:hAnsi="Times New Roman"/>
          <w:bCs/>
          <w:color w:val="000000"/>
        </w:rPr>
      </w:pPr>
    </w:p>
    <w:p w14:paraId="05846D3C" w14:textId="77777777" w:rsidR="00710173" w:rsidRPr="00951E8F" w:rsidRDefault="00710173" w:rsidP="005B3A4D">
      <w:pPr>
        <w:widowControl w:val="0"/>
        <w:autoSpaceDE w:val="0"/>
        <w:autoSpaceDN w:val="0"/>
        <w:adjustRightInd w:val="0"/>
        <w:spacing w:after="240" w:line="276" w:lineRule="auto"/>
        <w:ind w:left="4320"/>
        <w:contextualSpacing/>
        <w:jc w:val="both"/>
        <w:rPr>
          <w:rFonts w:ascii="Times New Roman" w:hAnsi="Times New Roman"/>
          <w:bCs/>
          <w:color w:val="000000"/>
        </w:rPr>
      </w:pPr>
      <w:r w:rsidRPr="00951E8F">
        <w:rPr>
          <w:rFonts w:ascii="Times New Roman" w:hAnsi="Times New Roman"/>
          <w:bCs/>
          <w:color w:val="000000"/>
        </w:rPr>
        <w:t>a. Application for setting aside as exclusive recourse.</w:t>
      </w:r>
    </w:p>
    <w:p w14:paraId="445F53CA" w14:textId="77777777" w:rsidR="00B132A7" w:rsidRPr="00951E8F" w:rsidRDefault="00B132A7" w:rsidP="005B3A4D">
      <w:pPr>
        <w:widowControl w:val="0"/>
        <w:autoSpaceDE w:val="0"/>
        <w:autoSpaceDN w:val="0"/>
        <w:adjustRightInd w:val="0"/>
        <w:spacing w:after="240" w:line="276" w:lineRule="auto"/>
        <w:ind w:left="2880"/>
        <w:contextualSpacing/>
        <w:jc w:val="both"/>
        <w:rPr>
          <w:rFonts w:ascii="Times New Roman" w:hAnsi="Times New Roman"/>
          <w:bCs/>
          <w:color w:val="000000"/>
        </w:rPr>
      </w:pPr>
      <w:r w:rsidRPr="00951E8F">
        <w:rPr>
          <w:rFonts w:ascii="Times New Roman" w:hAnsi="Times New Roman"/>
          <w:bCs/>
          <w:color w:val="000000"/>
        </w:rPr>
        <w:t xml:space="preserve">45. </w:t>
      </w:r>
      <w:r w:rsidRPr="00951E8F">
        <w:rPr>
          <w:rFonts w:ascii="Times New Roman" w:hAnsi="Times New Roman"/>
          <w:b/>
          <w:bCs/>
          <w:color w:val="000000"/>
        </w:rPr>
        <w:t>The first measure of improvement is to allow only one type of recourse, to the exclusion of any other recourse regulated in any procedural law of the State in question</w:t>
      </w:r>
      <w:r w:rsidRPr="00951E8F">
        <w:rPr>
          <w:rFonts w:ascii="Times New Roman" w:hAnsi="Times New Roman"/>
          <w:bCs/>
          <w:color w:val="000000"/>
        </w:rPr>
        <w:t xml:space="preserve">. Article 34 (1) provides that the sole recourse against an arbitral award is by application for setting aside, which must be made within three months of receipt of the award (article 34 (3)). In regulating “recourse” (i.e., the means through which a party may actively “attack” the award), article 34 does not preclude a party from seeking court control by way </w:t>
      </w:r>
      <w:r w:rsidRPr="00951E8F">
        <w:rPr>
          <w:rFonts w:ascii="Times New Roman" w:hAnsi="Times New Roman"/>
          <w:bCs/>
          <w:color w:val="000000"/>
        </w:rPr>
        <w:lastRenderedPageBreak/>
        <w:t xml:space="preserve">of </w:t>
      </w:r>
      <w:proofErr w:type="spellStart"/>
      <w:r w:rsidRPr="00951E8F">
        <w:rPr>
          <w:rFonts w:ascii="Times New Roman" w:hAnsi="Times New Roman"/>
          <w:bCs/>
          <w:color w:val="000000"/>
        </w:rPr>
        <w:t>defence</w:t>
      </w:r>
      <w:proofErr w:type="spellEnd"/>
      <w:r w:rsidRPr="00951E8F">
        <w:rPr>
          <w:rFonts w:ascii="Times New Roman" w:hAnsi="Times New Roman"/>
          <w:bCs/>
          <w:color w:val="000000"/>
        </w:rPr>
        <w:t xml:space="preserve"> in enforcement proceedings (articles 35 and 36). Article 34 is limited to action before a court (i.e., an organ of the judicial system of a State). </w:t>
      </w:r>
      <w:r w:rsidRPr="00951E8F">
        <w:rPr>
          <w:rFonts w:ascii="Times New Roman" w:hAnsi="Times New Roman"/>
          <w:b/>
          <w:bCs/>
          <w:color w:val="000000"/>
        </w:rPr>
        <w:t xml:space="preserve">However, a party is not precluded from appealing to an arbitral tribunal of second instance if the parties have agreed on such a possibility (as is common in certain commodity trades).” </w:t>
      </w:r>
      <w:r w:rsidR="00092A4A" w:rsidRPr="00951E8F">
        <w:rPr>
          <w:rFonts w:ascii="Times New Roman" w:hAnsi="Times New Roman"/>
          <w:bCs/>
          <w:color w:val="000000"/>
        </w:rPr>
        <w:t>[Emphasis supplied by us].</w:t>
      </w:r>
    </w:p>
    <w:p w14:paraId="181E4F0D" w14:textId="77777777" w:rsidR="00092A4A" w:rsidRPr="00951E8F" w:rsidRDefault="00092A4A" w:rsidP="005B3A4D">
      <w:pPr>
        <w:widowControl w:val="0"/>
        <w:autoSpaceDE w:val="0"/>
        <w:autoSpaceDN w:val="0"/>
        <w:adjustRightInd w:val="0"/>
        <w:spacing w:after="240" w:line="276" w:lineRule="auto"/>
        <w:ind w:left="2880"/>
        <w:contextualSpacing/>
        <w:jc w:val="both"/>
        <w:rPr>
          <w:rFonts w:ascii="Times New Roman" w:hAnsi="Times New Roman"/>
          <w:bCs/>
          <w:color w:val="000000"/>
        </w:rPr>
      </w:pPr>
    </w:p>
    <w:p w14:paraId="5DCB712D"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34 </w:t>
      </w:r>
    </w:p>
    <w:p w14:paraId="60C1A1D0" w14:textId="77777777" w:rsidR="00064645" w:rsidRPr="00951E8F" w:rsidRDefault="00064645"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It is therefore quite clear that the "</w:t>
      </w:r>
      <w:r w:rsidRPr="00951E8F">
        <w:rPr>
          <w:rFonts w:ascii="Times New Roman" w:hAnsi="Times New Roman"/>
          <w:i/>
          <w:color w:val="000000"/>
          <w:sz w:val="24"/>
          <w:szCs w:val="24"/>
        </w:rPr>
        <w:t>final and binding</w:t>
      </w:r>
      <w:r w:rsidRPr="00951E8F">
        <w:rPr>
          <w:rFonts w:ascii="Times New Roman" w:hAnsi="Times New Roman"/>
          <w:color w:val="000000"/>
          <w:sz w:val="24"/>
          <w:szCs w:val="24"/>
        </w:rPr>
        <w:t>" clause in Section 35 of the A&amp;C Act does not mean final for all intents and purposes. The finality is subject to any recourse that an aggrieved party might have under a statute or an agreement providing for arbitration in the second instance. The award is binding in a limited context.</w:t>
      </w:r>
    </w:p>
    <w:p w14:paraId="7F6999ED"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bookmarkStart w:id="4" w:name="35"/>
      <w:bookmarkEnd w:id="4"/>
    </w:p>
    <w:p w14:paraId="1143127C"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p>
    <w:p w14:paraId="5528DC6A"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35 </w:t>
      </w:r>
    </w:p>
    <w:p w14:paraId="1B9C9F48" w14:textId="77777777" w:rsidR="00A3773B" w:rsidRPr="00951E8F" w:rsidRDefault="00064645"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Unless this interpretation is accepted, a second instance arbitration would be per se invalid in India. This would be going against the grain of a long line of decisions rendered by various courts in the country which have accepted the validity of a two-tier arbitration procedure under institutional rules and have not taken the view that a two-tier arbitration procedure is </w:t>
      </w:r>
      <w:r w:rsidRPr="00951E8F">
        <w:rPr>
          <w:rFonts w:ascii="Times New Roman" w:hAnsi="Times New Roman"/>
          <w:i/>
          <w:color w:val="000000"/>
          <w:sz w:val="24"/>
          <w:szCs w:val="24"/>
        </w:rPr>
        <w:t>per se</w:t>
      </w:r>
      <w:r w:rsidRPr="00951E8F">
        <w:rPr>
          <w:rFonts w:ascii="Times New Roman" w:hAnsi="Times New Roman"/>
          <w:color w:val="000000"/>
          <w:sz w:val="24"/>
          <w:szCs w:val="24"/>
        </w:rPr>
        <w:t xml:space="preserve"> invalid. Reference in this regard may be made to a somewhat recent decision rendered in </w:t>
      </w:r>
      <w:proofErr w:type="spellStart"/>
      <w:r w:rsidRPr="00951E8F">
        <w:rPr>
          <w:rFonts w:ascii="Times New Roman" w:hAnsi="Times New Roman"/>
          <w:b/>
          <w:i/>
          <w:color w:val="000000"/>
          <w:sz w:val="24"/>
          <w:szCs w:val="24"/>
        </w:rPr>
        <w:t>Shri</w:t>
      </w:r>
      <w:proofErr w:type="spellEnd"/>
      <w:r w:rsidRPr="00951E8F">
        <w:rPr>
          <w:rFonts w:ascii="Times New Roman" w:hAnsi="Times New Roman"/>
          <w:b/>
          <w:i/>
          <w:color w:val="000000"/>
          <w:sz w:val="24"/>
          <w:szCs w:val="24"/>
        </w:rPr>
        <w:t xml:space="preserve"> </w:t>
      </w:r>
      <w:proofErr w:type="spellStart"/>
      <w:r w:rsidRPr="00951E8F">
        <w:rPr>
          <w:rFonts w:ascii="Times New Roman" w:hAnsi="Times New Roman"/>
          <w:b/>
          <w:i/>
          <w:color w:val="000000"/>
          <w:sz w:val="24"/>
          <w:szCs w:val="24"/>
        </w:rPr>
        <w:t>Lal</w:t>
      </w:r>
      <w:proofErr w:type="spellEnd"/>
      <w:r w:rsidRPr="00951E8F">
        <w:rPr>
          <w:rFonts w:ascii="Times New Roman" w:hAnsi="Times New Roman"/>
          <w:b/>
          <w:i/>
          <w:color w:val="000000"/>
          <w:sz w:val="24"/>
          <w:szCs w:val="24"/>
        </w:rPr>
        <w:t xml:space="preserve"> </w:t>
      </w:r>
      <w:proofErr w:type="spellStart"/>
      <w:r w:rsidRPr="00951E8F">
        <w:rPr>
          <w:rFonts w:ascii="Times New Roman" w:hAnsi="Times New Roman"/>
          <w:b/>
          <w:i/>
          <w:color w:val="000000"/>
          <w:sz w:val="24"/>
          <w:szCs w:val="24"/>
        </w:rPr>
        <w:t>Mahal</w:t>
      </w:r>
      <w:proofErr w:type="spellEnd"/>
      <w:r w:rsidRPr="00951E8F">
        <w:rPr>
          <w:rFonts w:ascii="Times New Roman" w:hAnsi="Times New Roman"/>
          <w:b/>
          <w:i/>
          <w:color w:val="000000"/>
          <w:sz w:val="24"/>
          <w:szCs w:val="24"/>
        </w:rPr>
        <w:t xml:space="preserve"> Ltd. v. </w:t>
      </w:r>
      <w:proofErr w:type="spellStart"/>
      <w:r w:rsidRPr="00951E8F">
        <w:rPr>
          <w:rFonts w:ascii="Times New Roman" w:hAnsi="Times New Roman"/>
          <w:b/>
          <w:i/>
          <w:color w:val="000000"/>
          <w:sz w:val="24"/>
          <w:szCs w:val="24"/>
        </w:rPr>
        <w:t>Progetto</w:t>
      </w:r>
      <w:proofErr w:type="spellEnd"/>
      <w:r w:rsidRPr="00951E8F">
        <w:rPr>
          <w:rFonts w:ascii="Times New Roman" w:hAnsi="Times New Roman"/>
          <w:b/>
          <w:i/>
          <w:color w:val="000000"/>
          <w:sz w:val="24"/>
          <w:szCs w:val="24"/>
        </w:rPr>
        <w:t xml:space="preserve"> </w:t>
      </w:r>
      <w:proofErr w:type="spellStart"/>
      <w:r w:rsidRPr="00951E8F">
        <w:rPr>
          <w:rFonts w:ascii="Times New Roman" w:hAnsi="Times New Roman"/>
          <w:b/>
          <w:i/>
          <w:color w:val="000000"/>
          <w:sz w:val="24"/>
          <w:szCs w:val="24"/>
        </w:rPr>
        <w:t>Grano</w:t>
      </w:r>
      <w:proofErr w:type="spellEnd"/>
      <w:r w:rsidRPr="00951E8F">
        <w:rPr>
          <w:rFonts w:ascii="Times New Roman" w:hAnsi="Times New Roman"/>
          <w:b/>
          <w:i/>
          <w:color w:val="000000"/>
          <w:sz w:val="24"/>
          <w:szCs w:val="24"/>
        </w:rPr>
        <w:t xml:space="preserve"> Spa</w:t>
      </w:r>
      <w:r w:rsidRPr="00951E8F">
        <w:rPr>
          <w:rFonts w:ascii="Times New Roman" w:hAnsi="Times New Roman"/>
          <w:color w:val="000000"/>
          <w:sz w:val="24"/>
          <w:szCs w:val="24"/>
        </w:rPr>
        <w:t xml:space="preserve">, 2013(4) R.C.R.(Civil) 105 : (2014) 2 SCC 433 wherein an award by the Board of Appeal of the Grain and Feed Trade Association, London was considered and upheld. Similarly in </w:t>
      </w:r>
      <w:proofErr w:type="spellStart"/>
      <w:r w:rsidRPr="00951E8F">
        <w:rPr>
          <w:rFonts w:ascii="Times New Roman" w:hAnsi="Times New Roman"/>
          <w:b/>
          <w:i/>
          <w:color w:val="000000"/>
          <w:sz w:val="24"/>
          <w:szCs w:val="24"/>
        </w:rPr>
        <w:t>Subhash</w:t>
      </w:r>
      <w:proofErr w:type="spellEnd"/>
      <w:r w:rsidRPr="00951E8F">
        <w:rPr>
          <w:rFonts w:ascii="Times New Roman" w:hAnsi="Times New Roman"/>
          <w:b/>
          <w:i/>
          <w:color w:val="000000"/>
          <w:sz w:val="24"/>
          <w:szCs w:val="24"/>
        </w:rPr>
        <w:t xml:space="preserve"> </w:t>
      </w:r>
      <w:proofErr w:type="spellStart"/>
      <w:r w:rsidRPr="00951E8F">
        <w:rPr>
          <w:rFonts w:ascii="Times New Roman" w:hAnsi="Times New Roman"/>
          <w:b/>
          <w:i/>
          <w:color w:val="000000"/>
          <w:sz w:val="24"/>
          <w:szCs w:val="24"/>
        </w:rPr>
        <w:t>Aggarwal</w:t>
      </w:r>
      <w:proofErr w:type="spellEnd"/>
      <w:r w:rsidRPr="00951E8F">
        <w:rPr>
          <w:rFonts w:ascii="Times New Roman" w:hAnsi="Times New Roman"/>
          <w:b/>
          <w:i/>
          <w:color w:val="000000"/>
          <w:sz w:val="24"/>
          <w:szCs w:val="24"/>
        </w:rPr>
        <w:t xml:space="preserve"> Agencies v. </w:t>
      </w:r>
      <w:proofErr w:type="spellStart"/>
      <w:r w:rsidRPr="00951E8F">
        <w:rPr>
          <w:rFonts w:ascii="Times New Roman" w:hAnsi="Times New Roman"/>
          <w:b/>
          <w:i/>
          <w:color w:val="000000"/>
          <w:sz w:val="24"/>
          <w:szCs w:val="24"/>
        </w:rPr>
        <w:t>Bhilwara</w:t>
      </w:r>
      <w:proofErr w:type="spellEnd"/>
      <w:r w:rsidRPr="00951E8F">
        <w:rPr>
          <w:rFonts w:ascii="Times New Roman" w:hAnsi="Times New Roman"/>
          <w:b/>
          <w:i/>
          <w:color w:val="000000"/>
          <w:sz w:val="24"/>
          <w:szCs w:val="24"/>
        </w:rPr>
        <w:t xml:space="preserve"> Synthetics Ltd.</w:t>
      </w:r>
      <w:r w:rsidRPr="00951E8F">
        <w:rPr>
          <w:rFonts w:ascii="Times New Roman" w:hAnsi="Times New Roman"/>
          <w:color w:val="000000"/>
          <w:sz w:val="24"/>
          <w:szCs w:val="24"/>
        </w:rPr>
        <w:t xml:space="preserve">, (1995) 1 SCC 371 decided under the Indian Arbitration Act, 1940] the decision of an appellate Tribunal constituted under the Delhi Hindustan Mercantile Association Rules and Regulations was under consideration. Several other instances could be cited but that is not necessary. There are several decisions of several High Courts to the same effect and we see no error in the implicit acceptance of the general principle of two-tier arbitrations. </w:t>
      </w:r>
    </w:p>
    <w:p w14:paraId="62975FA7" w14:textId="77777777" w:rsidR="00A3773B" w:rsidRPr="00951E8F" w:rsidRDefault="00A3773B" w:rsidP="005B3A4D">
      <w:pPr>
        <w:pStyle w:val="NormalWeb"/>
        <w:spacing w:line="276" w:lineRule="auto"/>
        <w:ind w:left="2160"/>
        <w:contextualSpacing/>
        <w:jc w:val="both"/>
        <w:rPr>
          <w:rFonts w:ascii="Times New Roman" w:hAnsi="Times New Roman"/>
          <w:color w:val="000000"/>
          <w:sz w:val="24"/>
          <w:szCs w:val="24"/>
        </w:rPr>
      </w:pPr>
    </w:p>
    <w:p w14:paraId="643D62FB" w14:textId="77777777" w:rsidR="00064645" w:rsidRPr="00951E8F" w:rsidRDefault="00064645" w:rsidP="005B3A4D">
      <w:pPr>
        <w:pStyle w:val="NormalWeb"/>
        <w:spacing w:line="276" w:lineRule="auto"/>
        <w:ind w:left="2160"/>
        <w:contextualSpacing/>
        <w:jc w:val="both"/>
        <w:rPr>
          <w:rFonts w:ascii="Times New Roman" w:hAnsi="Times New Roman"/>
          <w:b/>
          <w:color w:val="000000"/>
          <w:sz w:val="24"/>
          <w:szCs w:val="24"/>
        </w:rPr>
      </w:pPr>
      <w:r w:rsidRPr="00951E8F">
        <w:rPr>
          <w:rFonts w:ascii="Times New Roman" w:hAnsi="Times New Roman"/>
          <w:b/>
          <w:color w:val="000000"/>
          <w:sz w:val="24"/>
          <w:szCs w:val="24"/>
        </w:rPr>
        <w:t>Party autonomy</w:t>
      </w:r>
    </w:p>
    <w:p w14:paraId="220B24CE"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bookmarkStart w:id="5" w:name="36"/>
      <w:bookmarkEnd w:id="5"/>
      <w:r w:rsidRPr="00951E8F">
        <w:rPr>
          <w:rFonts w:ascii="Times New Roman" w:hAnsi="Times New Roman"/>
          <w:b/>
          <w:bCs/>
          <w:color w:val="000000"/>
          <w:sz w:val="24"/>
          <w:szCs w:val="24"/>
        </w:rPr>
        <w:t>Para.</w:t>
      </w:r>
      <w:r w:rsidR="00064645" w:rsidRPr="00951E8F">
        <w:rPr>
          <w:rFonts w:ascii="Times New Roman" w:hAnsi="Times New Roman"/>
          <w:b/>
          <w:bCs/>
          <w:color w:val="000000"/>
          <w:sz w:val="24"/>
          <w:szCs w:val="24"/>
        </w:rPr>
        <w:t>36 </w:t>
      </w:r>
    </w:p>
    <w:p w14:paraId="208FC2B6" w14:textId="77777777" w:rsidR="00064645" w:rsidRPr="00951E8F" w:rsidRDefault="00A3773B"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Party </w:t>
      </w:r>
      <w:r w:rsidR="00064645" w:rsidRPr="00951E8F">
        <w:rPr>
          <w:rFonts w:ascii="Times New Roman" w:hAnsi="Times New Roman"/>
          <w:color w:val="000000"/>
          <w:sz w:val="24"/>
          <w:szCs w:val="24"/>
        </w:rPr>
        <w:t xml:space="preserve">autonomy is virtually the backbone of arbitrations. This Court has expressed this view in quite a few decisions. In two </w:t>
      </w:r>
      <w:r w:rsidR="00064645" w:rsidRPr="00951E8F">
        <w:rPr>
          <w:rFonts w:ascii="Times New Roman" w:hAnsi="Times New Roman"/>
          <w:color w:val="000000"/>
          <w:sz w:val="24"/>
          <w:szCs w:val="24"/>
        </w:rPr>
        <w:lastRenderedPageBreak/>
        <w:t xml:space="preserve">significant passages in </w:t>
      </w:r>
      <w:r w:rsidR="00064645" w:rsidRPr="00951E8F">
        <w:rPr>
          <w:rFonts w:ascii="Times New Roman" w:hAnsi="Times New Roman"/>
          <w:b/>
          <w:i/>
          <w:color w:val="000000"/>
          <w:sz w:val="24"/>
          <w:szCs w:val="24"/>
        </w:rPr>
        <w:t xml:space="preserve">Bharat </w:t>
      </w:r>
      <w:proofErr w:type="spellStart"/>
      <w:r w:rsidR="00064645" w:rsidRPr="00951E8F">
        <w:rPr>
          <w:rFonts w:ascii="Times New Roman" w:hAnsi="Times New Roman"/>
          <w:b/>
          <w:i/>
          <w:color w:val="000000"/>
          <w:sz w:val="24"/>
          <w:szCs w:val="24"/>
        </w:rPr>
        <w:t>Aluminium</w:t>
      </w:r>
      <w:proofErr w:type="spellEnd"/>
      <w:r w:rsidR="00064645" w:rsidRPr="00951E8F">
        <w:rPr>
          <w:rFonts w:ascii="Times New Roman" w:hAnsi="Times New Roman"/>
          <w:b/>
          <w:i/>
          <w:color w:val="000000"/>
          <w:sz w:val="24"/>
          <w:szCs w:val="24"/>
        </w:rPr>
        <w:t xml:space="preserve"> Company v. Kaiser </w:t>
      </w:r>
      <w:proofErr w:type="spellStart"/>
      <w:r w:rsidR="00064645" w:rsidRPr="00951E8F">
        <w:rPr>
          <w:rFonts w:ascii="Times New Roman" w:hAnsi="Times New Roman"/>
          <w:b/>
          <w:i/>
          <w:color w:val="000000"/>
          <w:sz w:val="24"/>
          <w:szCs w:val="24"/>
        </w:rPr>
        <w:t>Aluminium</w:t>
      </w:r>
      <w:proofErr w:type="spellEnd"/>
      <w:r w:rsidR="00064645" w:rsidRPr="00951E8F">
        <w:rPr>
          <w:rFonts w:ascii="Times New Roman" w:hAnsi="Times New Roman"/>
          <w:b/>
          <w:i/>
          <w:color w:val="000000"/>
          <w:sz w:val="24"/>
          <w:szCs w:val="24"/>
        </w:rPr>
        <w:t xml:space="preserve"> Technical Services Inc</w:t>
      </w:r>
      <w:r w:rsidR="00064645" w:rsidRPr="00951E8F">
        <w:rPr>
          <w:rFonts w:ascii="Times New Roman" w:hAnsi="Times New Roman"/>
          <w:color w:val="000000"/>
          <w:sz w:val="24"/>
          <w:szCs w:val="24"/>
        </w:rPr>
        <w:t>.,</w:t>
      </w:r>
      <w:r w:rsidR="00F70139" w:rsidRPr="00951E8F">
        <w:rPr>
          <w:rStyle w:val="FootnoteReference"/>
          <w:rFonts w:ascii="Times New Roman" w:hAnsi="Times New Roman"/>
          <w:color w:val="000000"/>
          <w:sz w:val="24"/>
          <w:szCs w:val="24"/>
        </w:rPr>
        <w:footnoteReference w:id="6"/>
      </w:r>
      <w:r w:rsidR="00064645" w:rsidRPr="00951E8F">
        <w:rPr>
          <w:rFonts w:ascii="Times New Roman" w:hAnsi="Times New Roman"/>
          <w:color w:val="000000"/>
          <w:sz w:val="24"/>
          <w:szCs w:val="24"/>
        </w:rPr>
        <w:t xml:space="preserve"> this Court dealt with party autonomy from the point of view of the contracting parties and its importance in commercial contracts. In paragraph 5 of the Report, it was observed:</w:t>
      </w:r>
    </w:p>
    <w:p w14:paraId="462D8BB8" w14:textId="77777777" w:rsidR="00064645" w:rsidRPr="00951E8F" w:rsidRDefault="00064645" w:rsidP="005B3A4D">
      <w:pPr>
        <w:pStyle w:val="NormalWeb"/>
        <w:spacing w:line="276" w:lineRule="auto"/>
        <w:ind w:left="2880"/>
        <w:contextualSpacing/>
        <w:jc w:val="both"/>
        <w:rPr>
          <w:rFonts w:ascii="Times New Roman" w:hAnsi="Times New Roman"/>
          <w:color w:val="000000"/>
          <w:sz w:val="24"/>
          <w:szCs w:val="24"/>
        </w:rPr>
      </w:pPr>
      <w:r w:rsidRPr="00951E8F">
        <w:rPr>
          <w:rFonts w:ascii="Times New Roman" w:hAnsi="Times New Roman"/>
          <w:color w:val="000000"/>
          <w:sz w:val="24"/>
          <w:szCs w:val="24"/>
        </w:rPr>
        <w:t>"</w:t>
      </w:r>
      <w:r w:rsidRPr="00951E8F">
        <w:rPr>
          <w:rFonts w:ascii="Times New Roman" w:hAnsi="Times New Roman"/>
          <w:b/>
          <w:i/>
          <w:color w:val="000000"/>
          <w:sz w:val="24"/>
          <w:szCs w:val="24"/>
        </w:rPr>
        <w:t>Party autonomy being the brooding and guiding spirit in arbitration</w:t>
      </w:r>
      <w:r w:rsidRPr="00951E8F">
        <w:rPr>
          <w:rFonts w:ascii="Times New Roman" w:hAnsi="Times New Roman"/>
          <w:color w:val="000000"/>
          <w:sz w:val="24"/>
          <w:szCs w:val="24"/>
        </w:rPr>
        <w:t xml:space="preserve">, the parties are free to agree on application of three different laws governing their entire contract - (1) proper law of contract, (2) proper law of arbitration agreement, and (3) proper law of the conduct of arbitration, which is popularly and in legal parlance known as "curial law". The interplay and application of these different laws to an arbitration has been succinctly explained by this Court in </w:t>
      </w:r>
      <w:r w:rsidRPr="00951E8F">
        <w:rPr>
          <w:rFonts w:ascii="Times New Roman" w:hAnsi="Times New Roman"/>
          <w:i/>
          <w:color w:val="000000"/>
          <w:sz w:val="24"/>
          <w:szCs w:val="24"/>
        </w:rPr>
        <w:t>Sumitomo Heavy Industries Ltd. v. ONGC Ltd</w:t>
      </w:r>
      <w:r w:rsidRPr="00951E8F">
        <w:rPr>
          <w:rFonts w:ascii="Times New Roman" w:hAnsi="Times New Roman"/>
          <w:color w:val="000000"/>
          <w:sz w:val="24"/>
          <w:szCs w:val="24"/>
        </w:rPr>
        <w:t>.,</w:t>
      </w:r>
      <w:r w:rsidR="007B60A5" w:rsidRPr="00951E8F">
        <w:rPr>
          <w:rStyle w:val="FootnoteReference"/>
          <w:rFonts w:ascii="Times New Roman" w:hAnsi="Times New Roman"/>
          <w:color w:val="000000"/>
          <w:sz w:val="24"/>
          <w:szCs w:val="24"/>
        </w:rPr>
        <w:footnoteReference w:id="7"/>
      </w:r>
      <w:r w:rsidRPr="00951E8F">
        <w:rPr>
          <w:rFonts w:ascii="Times New Roman" w:hAnsi="Times New Roman"/>
          <w:color w:val="000000"/>
          <w:sz w:val="24"/>
          <w:szCs w:val="24"/>
        </w:rPr>
        <w:t xml:space="preserve"> which is one of the earliest decisions in that direction and which has been consistently followed in all the subsequent decisions including the recent </w:t>
      </w:r>
      <w:r w:rsidRPr="00951E8F">
        <w:rPr>
          <w:rFonts w:ascii="Times New Roman" w:hAnsi="Times New Roman"/>
          <w:i/>
          <w:color w:val="000000"/>
          <w:sz w:val="24"/>
          <w:szCs w:val="24"/>
        </w:rPr>
        <w:t>Reliance Industries Ltd. v. Union of India</w:t>
      </w:r>
      <w:r w:rsidRPr="00951E8F">
        <w:rPr>
          <w:rFonts w:ascii="Times New Roman" w:hAnsi="Times New Roman"/>
          <w:color w:val="000000"/>
          <w:sz w:val="24"/>
          <w:szCs w:val="24"/>
        </w:rPr>
        <w:t>,</w:t>
      </w:r>
      <w:r w:rsidR="007B60A5" w:rsidRPr="00951E8F">
        <w:rPr>
          <w:rStyle w:val="FootnoteReference"/>
          <w:rFonts w:ascii="Times New Roman" w:hAnsi="Times New Roman"/>
          <w:color w:val="000000"/>
          <w:sz w:val="24"/>
          <w:szCs w:val="24"/>
        </w:rPr>
        <w:footnoteReference w:id="8"/>
      </w:r>
      <w:r w:rsidRPr="00951E8F">
        <w:rPr>
          <w:rFonts w:ascii="Times New Roman" w:hAnsi="Times New Roman"/>
          <w:color w:val="000000"/>
          <w:sz w:val="24"/>
          <w:szCs w:val="24"/>
        </w:rPr>
        <w:t>." [Emphasis supplied by us].</w:t>
      </w:r>
    </w:p>
    <w:p w14:paraId="5C55F63F" w14:textId="77777777" w:rsidR="00064645" w:rsidRPr="00951E8F" w:rsidRDefault="00064645" w:rsidP="005B3A4D">
      <w:pPr>
        <w:pStyle w:val="NormalWeb"/>
        <w:spacing w:line="276" w:lineRule="auto"/>
        <w:ind w:left="2880"/>
        <w:contextualSpacing/>
        <w:jc w:val="both"/>
        <w:rPr>
          <w:rFonts w:ascii="Times New Roman" w:hAnsi="Times New Roman"/>
          <w:color w:val="000000"/>
          <w:sz w:val="24"/>
          <w:szCs w:val="24"/>
        </w:rPr>
      </w:pPr>
      <w:r w:rsidRPr="00951E8F">
        <w:rPr>
          <w:rFonts w:ascii="Times New Roman" w:hAnsi="Times New Roman"/>
          <w:color w:val="000000"/>
          <w:sz w:val="24"/>
          <w:szCs w:val="24"/>
        </w:rPr>
        <w:t>Later in paragraph 10 of the Report, it was held:</w:t>
      </w:r>
    </w:p>
    <w:p w14:paraId="68D4B802" w14:textId="77777777" w:rsidR="001C283A" w:rsidRPr="00951E8F" w:rsidRDefault="001C283A" w:rsidP="005B3A4D">
      <w:pPr>
        <w:pStyle w:val="NormalWeb"/>
        <w:spacing w:line="276" w:lineRule="auto"/>
        <w:ind w:left="2880"/>
        <w:contextualSpacing/>
        <w:jc w:val="both"/>
        <w:rPr>
          <w:rFonts w:ascii="Times New Roman" w:hAnsi="Times New Roman"/>
          <w:color w:val="000000"/>
          <w:sz w:val="24"/>
          <w:szCs w:val="24"/>
        </w:rPr>
      </w:pPr>
    </w:p>
    <w:p w14:paraId="43A41EDC" w14:textId="77777777" w:rsidR="00064645" w:rsidRPr="00951E8F" w:rsidRDefault="00064645" w:rsidP="005B3A4D">
      <w:pPr>
        <w:pStyle w:val="NormalWeb"/>
        <w:spacing w:line="276" w:lineRule="auto"/>
        <w:ind w:left="288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"In the matter of interpretation, the court has to make different approaches depending upon the instrument falling for interpretation. Legislative drafting is made by experts and is subjected to scrutiny at different stages before it takes final shape of an Act, Rule or Regulation. There is another category of drafting by lawmen or document writers who are professionally qualified and experienced in the field like drafting deeds, treaties, settlements in court, etc. And then there is the third category of documents made by laymen who have no knowledge of law or expertise in the field. The legal quality or perfection of the document is comparatively low in the third category, high in second and higher in first. No doubt, in the process of interpretation in the first category, the courts do make an attempt to gather the purpose of the legislation, its context and text. In the second category also, the text as </w:t>
      </w:r>
      <w:r w:rsidRPr="00951E8F">
        <w:rPr>
          <w:rFonts w:ascii="Times New Roman" w:hAnsi="Times New Roman"/>
          <w:color w:val="000000"/>
          <w:sz w:val="24"/>
          <w:szCs w:val="24"/>
        </w:rPr>
        <w:lastRenderedPageBreak/>
        <w:t xml:space="preserve">well as the purpose is certainly important, and in the third category of documents like wills, it is simply intention alone of the executor that is relevant. </w:t>
      </w:r>
      <w:r w:rsidRPr="00951E8F">
        <w:rPr>
          <w:rFonts w:ascii="Times New Roman" w:hAnsi="Times New Roman"/>
          <w:b/>
          <w:color w:val="000000"/>
          <w:sz w:val="24"/>
          <w:szCs w:val="24"/>
        </w:rPr>
        <w:t xml:space="preserve">In the case before us, being a contract executed between the two parties, the court cannot adopt an approach for interpreting a statute. The terms of the contract will have to be understood in the way the parties wanted and intended them to be. In that context, particularly in agreements of arbitration, where party autonomy is the </w:t>
      </w:r>
      <w:proofErr w:type="spellStart"/>
      <w:r w:rsidRPr="00951E8F">
        <w:rPr>
          <w:rFonts w:ascii="Times New Roman" w:hAnsi="Times New Roman"/>
          <w:b/>
          <w:color w:val="000000"/>
          <w:sz w:val="24"/>
          <w:szCs w:val="24"/>
        </w:rPr>
        <w:t>grund</w:t>
      </w:r>
      <w:proofErr w:type="spellEnd"/>
      <w:r w:rsidRPr="00951E8F">
        <w:rPr>
          <w:rFonts w:ascii="Times New Roman" w:hAnsi="Times New Roman"/>
          <w:b/>
          <w:color w:val="000000"/>
          <w:sz w:val="24"/>
          <w:szCs w:val="24"/>
        </w:rPr>
        <w:t xml:space="preserve"> norm</w:t>
      </w:r>
      <w:r w:rsidRPr="00951E8F">
        <w:rPr>
          <w:rFonts w:ascii="Times New Roman" w:hAnsi="Times New Roman"/>
          <w:color w:val="000000"/>
          <w:sz w:val="24"/>
          <w:szCs w:val="24"/>
        </w:rPr>
        <w:t>, how the parties worked out the agreement, is one of the indicators to decipher the intention, apart from the plain or grammatical meaning of the expressions and the use of the expressions at the proper places in the agreement." [Emphasis supplied by us].</w:t>
      </w:r>
    </w:p>
    <w:p w14:paraId="0A40BA9D" w14:textId="77777777" w:rsidR="001C283A" w:rsidRPr="00951E8F" w:rsidRDefault="001C283A" w:rsidP="005B3A4D">
      <w:pPr>
        <w:pStyle w:val="NormalWeb"/>
        <w:spacing w:line="276" w:lineRule="auto"/>
        <w:ind w:left="2160"/>
        <w:contextualSpacing/>
        <w:jc w:val="both"/>
        <w:rPr>
          <w:rFonts w:ascii="Times New Roman" w:hAnsi="Times New Roman"/>
          <w:b/>
          <w:bCs/>
          <w:color w:val="000000"/>
          <w:sz w:val="24"/>
          <w:szCs w:val="24"/>
        </w:rPr>
      </w:pPr>
    </w:p>
    <w:p w14:paraId="7043C098"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p>
    <w:p w14:paraId="724083D2"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3520BB" w:rsidRPr="00951E8F">
        <w:rPr>
          <w:rFonts w:ascii="Times New Roman" w:hAnsi="Times New Roman"/>
          <w:b/>
          <w:bCs/>
          <w:color w:val="000000"/>
          <w:sz w:val="24"/>
          <w:szCs w:val="24"/>
        </w:rPr>
        <w:t>40 </w:t>
      </w:r>
    </w:p>
    <w:p w14:paraId="300E1231" w14:textId="77777777" w:rsidR="004A171E" w:rsidRPr="00951E8F" w:rsidRDefault="003520BB"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Be that as it may, the legal position as we understand it is that the parties to an arbitration agreement have the autonomy to decide not only on the procedural law to be followed but also the substantive law. The choice of jurisdiction is left to the contracting parties. In the present case, the parties have agreed on a two tier arbitration system through Clause 14 of the agreement and Clause 16 of the agreement provides for the construction of the contract as a contract made in accordance with the laws of India. We see nothing wrong in either of the two clauses mutually agreed upon by the parties. </w:t>
      </w:r>
    </w:p>
    <w:p w14:paraId="26DCA1DE" w14:textId="77777777" w:rsidR="004A171E" w:rsidRPr="00951E8F" w:rsidRDefault="004A171E" w:rsidP="005B3A4D">
      <w:pPr>
        <w:pStyle w:val="NormalWeb"/>
        <w:spacing w:line="276" w:lineRule="auto"/>
        <w:ind w:left="2160"/>
        <w:contextualSpacing/>
        <w:jc w:val="both"/>
        <w:rPr>
          <w:rFonts w:ascii="Times New Roman" w:hAnsi="Times New Roman"/>
          <w:color w:val="000000"/>
          <w:sz w:val="24"/>
          <w:szCs w:val="24"/>
        </w:rPr>
      </w:pPr>
    </w:p>
    <w:p w14:paraId="793A80BC" w14:textId="77777777" w:rsidR="003520BB" w:rsidRPr="00951E8F" w:rsidRDefault="003520BB" w:rsidP="005B3A4D">
      <w:pPr>
        <w:pStyle w:val="NormalWeb"/>
        <w:spacing w:line="276" w:lineRule="auto"/>
        <w:ind w:left="2160"/>
        <w:contextualSpacing/>
        <w:jc w:val="both"/>
        <w:rPr>
          <w:rFonts w:ascii="Times New Roman" w:hAnsi="Times New Roman"/>
          <w:b/>
          <w:color w:val="000000"/>
          <w:sz w:val="24"/>
          <w:szCs w:val="24"/>
        </w:rPr>
      </w:pPr>
      <w:r w:rsidRPr="00951E8F">
        <w:rPr>
          <w:rFonts w:ascii="Times New Roman" w:hAnsi="Times New Roman"/>
          <w:b/>
          <w:color w:val="000000"/>
          <w:sz w:val="24"/>
          <w:szCs w:val="24"/>
        </w:rPr>
        <w:t>Public policy and two-tier arbitrations</w:t>
      </w:r>
    </w:p>
    <w:p w14:paraId="5469AA40"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bookmarkStart w:id="6" w:name="41"/>
      <w:bookmarkEnd w:id="6"/>
      <w:r w:rsidRPr="00951E8F">
        <w:rPr>
          <w:rFonts w:ascii="Times New Roman" w:hAnsi="Times New Roman"/>
          <w:b/>
          <w:bCs/>
          <w:color w:val="000000"/>
          <w:sz w:val="24"/>
          <w:szCs w:val="24"/>
        </w:rPr>
        <w:t>Para.</w:t>
      </w:r>
      <w:r w:rsidR="003520BB" w:rsidRPr="00951E8F">
        <w:rPr>
          <w:rFonts w:ascii="Times New Roman" w:hAnsi="Times New Roman"/>
          <w:b/>
          <w:bCs/>
          <w:color w:val="000000"/>
          <w:sz w:val="24"/>
          <w:szCs w:val="24"/>
        </w:rPr>
        <w:t>41 </w:t>
      </w:r>
    </w:p>
    <w:p w14:paraId="74B54020" w14:textId="77777777" w:rsidR="003520BB" w:rsidRPr="00951E8F" w:rsidRDefault="003520BB"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The question that now arises is the interplay between public policy and party autonomy and therefore whether embracing the two-tier arbitration system is contrary to public policy.</w:t>
      </w:r>
    </w:p>
    <w:p w14:paraId="6869F486"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p>
    <w:p w14:paraId="43D69DE8"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3520BB" w:rsidRPr="00951E8F">
        <w:rPr>
          <w:rFonts w:ascii="Times New Roman" w:hAnsi="Times New Roman"/>
          <w:b/>
          <w:bCs/>
          <w:color w:val="000000"/>
          <w:sz w:val="24"/>
          <w:szCs w:val="24"/>
        </w:rPr>
        <w:t>44 </w:t>
      </w:r>
    </w:p>
    <w:p w14:paraId="1B74B655" w14:textId="77777777" w:rsidR="003520BB" w:rsidRPr="00951E8F" w:rsidRDefault="003520BB"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 xml:space="preserve">For the present we are concerned only with the fundamental or public policy of India. Even assuming the broad delineation of the fundamental policy of India as stated in </w:t>
      </w:r>
      <w:r w:rsidRPr="00951E8F">
        <w:rPr>
          <w:rFonts w:ascii="Times New Roman" w:hAnsi="Times New Roman"/>
          <w:b/>
          <w:i/>
          <w:color w:val="000000"/>
          <w:sz w:val="24"/>
          <w:szCs w:val="24"/>
        </w:rPr>
        <w:t>Associate Builders</w:t>
      </w:r>
      <w:r w:rsidRPr="00951E8F">
        <w:rPr>
          <w:rFonts w:ascii="Times New Roman" w:hAnsi="Times New Roman"/>
          <w:color w:val="000000"/>
          <w:sz w:val="24"/>
          <w:szCs w:val="24"/>
        </w:rPr>
        <w:t xml:space="preserve"> we do not find anything fundamentally objectionable in the parties preferring and accepting the two-tier arbitration system. The parties to the contract have not by-passed any mandatory provision of the A&amp;C Act and were aware, or at least ought to have been aware that they could have agreed upon the finality </w:t>
      </w:r>
      <w:r w:rsidRPr="00951E8F">
        <w:rPr>
          <w:rFonts w:ascii="Times New Roman" w:hAnsi="Times New Roman"/>
          <w:color w:val="000000"/>
          <w:sz w:val="24"/>
          <w:szCs w:val="24"/>
        </w:rPr>
        <w:lastRenderedPageBreak/>
        <w:t>of an award given by the arbitration panel of the Indian Council of Arbitration in accordance with the Rules of Arbitration of the Indian Council of Arbitration. Yet they voluntarily and deliberately chose to agree upon a second or appellate arbitration in London, UK in accordance with the Rules of Conciliation and Arbitration of the International Chamber of Commerce. There is nothing in the A&amp;C Act that prohibits the contracting parties from agreeing upon a second instance or appellate arbitration - either explicitly or implicitly. No such prohibition or mandate can be read into the A&amp;C Act except by an unreasonable and awkward misconstruction and by straining its language to a vanishing point. We are not concerned with the reason why the parties (including HCL) agreed to a second instance arbitration - the fact is that they did and are bound by the agreement entered into by them. HCL cannot wriggle out of a solemn commitment made by it voluntarily, deliberately and with eyes wide open.</w:t>
      </w:r>
    </w:p>
    <w:p w14:paraId="6783A7AE"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bookmarkStart w:id="7" w:name="45"/>
      <w:bookmarkEnd w:id="7"/>
    </w:p>
    <w:p w14:paraId="40C49F05"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p>
    <w:p w14:paraId="5215505E"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3520BB" w:rsidRPr="00951E8F">
        <w:rPr>
          <w:rFonts w:ascii="Times New Roman" w:hAnsi="Times New Roman"/>
          <w:b/>
          <w:bCs/>
          <w:color w:val="000000"/>
          <w:sz w:val="24"/>
          <w:szCs w:val="24"/>
        </w:rPr>
        <w:t>45 </w:t>
      </w:r>
    </w:p>
    <w:p w14:paraId="16B8FFEA" w14:textId="77777777" w:rsidR="003520BB" w:rsidRPr="00951E8F" w:rsidRDefault="003520BB"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We decline to read the A&amp;C Act in the manner suggested by learned counsel for HCL and hold that the arbitration clause in the agreement between the parties does not violate the fundamental or public policy of India by the parties agreeing to a second instance arbitration. It follows from our discussion that the award which is required to be challenged by HCL is the award rendered on 29th September, 2001 by the arbitrator in London.</w:t>
      </w:r>
    </w:p>
    <w:p w14:paraId="523E7EB6" w14:textId="77777777" w:rsidR="002E1E74" w:rsidRPr="00951E8F" w:rsidRDefault="002E1E74" w:rsidP="005B3A4D">
      <w:pPr>
        <w:pStyle w:val="NormalWeb"/>
        <w:spacing w:line="276" w:lineRule="auto"/>
        <w:ind w:left="2880"/>
        <w:contextualSpacing/>
        <w:jc w:val="both"/>
        <w:rPr>
          <w:rFonts w:ascii="Times New Roman" w:hAnsi="Times New Roman"/>
          <w:color w:val="000000"/>
          <w:sz w:val="24"/>
          <w:szCs w:val="24"/>
        </w:rPr>
      </w:pPr>
    </w:p>
    <w:p w14:paraId="428FE9A1" w14:textId="77777777" w:rsidR="003520BB" w:rsidRPr="00951E8F" w:rsidRDefault="003520BB" w:rsidP="005B3A4D">
      <w:pPr>
        <w:pStyle w:val="NormalWeb"/>
        <w:spacing w:line="276" w:lineRule="auto"/>
        <w:ind w:left="2880"/>
        <w:contextualSpacing/>
        <w:jc w:val="both"/>
        <w:rPr>
          <w:rFonts w:ascii="Times New Roman" w:hAnsi="Times New Roman"/>
          <w:color w:val="000000"/>
          <w:sz w:val="24"/>
          <w:szCs w:val="24"/>
        </w:rPr>
      </w:pPr>
      <w:r w:rsidRPr="00951E8F">
        <w:rPr>
          <w:rFonts w:ascii="Times New Roman" w:hAnsi="Times New Roman"/>
          <w:color w:val="000000"/>
          <w:sz w:val="24"/>
          <w:szCs w:val="24"/>
        </w:rPr>
        <w:t>Conclusion</w:t>
      </w:r>
    </w:p>
    <w:p w14:paraId="26029357"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bookmarkStart w:id="8" w:name="46"/>
      <w:bookmarkEnd w:id="8"/>
    </w:p>
    <w:p w14:paraId="4BDB3FE1" w14:textId="77777777" w:rsidR="002E1E74" w:rsidRPr="00951E8F" w:rsidRDefault="002E1E74" w:rsidP="005B3A4D">
      <w:pPr>
        <w:pStyle w:val="NormalWeb"/>
        <w:spacing w:line="276" w:lineRule="auto"/>
        <w:ind w:left="2160"/>
        <w:contextualSpacing/>
        <w:jc w:val="both"/>
        <w:rPr>
          <w:rFonts w:ascii="Times New Roman" w:hAnsi="Times New Roman"/>
          <w:b/>
          <w:bCs/>
          <w:color w:val="000000"/>
          <w:sz w:val="24"/>
          <w:szCs w:val="24"/>
        </w:rPr>
      </w:pPr>
      <w:r w:rsidRPr="00951E8F">
        <w:rPr>
          <w:rFonts w:ascii="Times New Roman" w:hAnsi="Times New Roman"/>
          <w:b/>
          <w:bCs/>
          <w:color w:val="000000"/>
          <w:sz w:val="24"/>
          <w:szCs w:val="24"/>
        </w:rPr>
        <w:t>Para.</w:t>
      </w:r>
      <w:r w:rsidR="003520BB" w:rsidRPr="00951E8F">
        <w:rPr>
          <w:rFonts w:ascii="Times New Roman" w:hAnsi="Times New Roman"/>
          <w:b/>
          <w:bCs/>
          <w:color w:val="000000"/>
          <w:sz w:val="24"/>
          <w:szCs w:val="24"/>
        </w:rPr>
        <w:t>46 </w:t>
      </w:r>
    </w:p>
    <w:p w14:paraId="352E7B52" w14:textId="77777777" w:rsidR="003520BB" w:rsidRPr="00951E8F" w:rsidRDefault="003520BB" w:rsidP="005B3A4D">
      <w:pPr>
        <w:pStyle w:val="NormalWeb"/>
        <w:spacing w:line="276" w:lineRule="auto"/>
        <w:ind w:left="2160"/>
        <w:contextualSpacing/>
        <w:jc w:val="both"/>
        <w:rPr>
          <w:rFonts w:ascii="Times New Roman" w:hAnsi="Times New Roman"/>
          <w:color w:val="000000"/>
          <w:sz w:val="24"/>
          <w:szCs w:val="24"/>
        </w:rPr>
      </w:pPr>
      <w:r w:rsidRPr="00951E8F">
        <w:rPr>
          <w:rFonts w:ascii="Times New Roman" w:hAnsi="Times New Roman"/>
          <w:color w:val="000000"/>
          <w:sz w:val="24"/>
          <w:szCs w:val="24"/>
        </w:rPr>
        <w:t>In view of the above, the first question before us is answered in the affirmative. The appeals should be listed again for consideration of the second question which relates to the enforcement of the appellate award.</w:t>
      </w:r>
      <w:r w:rsidR="00D07C49" w:rsidRPr="00951E8F">
        <w:rPr>
          <w:rFonts w:ascii="Times New Roman" w:hAnsi="Times New Roman"/>
          <w:color w:val="000000"/>
          <w:sz w:val="24"/>
          <w:szCs w:val="24"/>
        </w:rPr>
        <w:t>”</w:t>
      </w:r>
    </w:p>
    <w:p w14:paraId="533DD7CC" w14:textId="77777777" w:rsidR="000C76C9" w:rsidRPr="00951E8F" w:rsidRDefault="000C76C9" w:rsidP="005B3A4D">
      <w:pPr>
        <w:spacing w:line="276" w:lineRule="auto"/>
        <w:contextualSpacing/>
        <w:jc w:val="both"/>
        <w:rPr>
          <w:rFonts w:ascii="Times New Roman" w:hAnsi="Times New Roman"/>
        </w:rPr>
      </w:pPr>
    </w:p>
    <w:p w14:paraId="068C933E" w14:textId="77777777" w:rsidR="002655C0" w:rsidRPr="00951E8F" w:rsidRDefault="002655C0" w:rsidP="005B3A4D">
      <w:pPr>
        <w:spacing w:line="276" w:lineRule="auto"/>
        <w:contextualSpacing/>
        <w:jc w:val="both"/>
        <w:rPr>
          <w:rFonts w:ascii="Times New Roman" w:hAnsi="Times New Roman"/>
        </w:rPr>
      </w:pPr>
      <w:r w:rsidRPr="00951E8F">
        <w:rPr>
          <w:rFonts w:ascii="Times New Roman" w:hAnsi="Times New Roman"/>
        </w:rPr>
        <w:t xml:space="preserve">It secondly resides under </w:t>
      </w:r>
      <w:proofErr w:type="gramStart"/>
      <w:r w:rsidRPr="00951E8F">
        <w:rPr>
          <w:rFonts w:ascii="Times New Roman" w:hAnsi="Times New Roman"/>
        </w:rPr>
        <w:t>S.38(</w:t>
      </w:r>
      <w:proofErr w:type="gramEnd"/>
      <w:r w:rsidRPr="00951E8F">
        <w:rPr>
          <w:rFonts w:ascii="Times New Roman" w:hAnsi="Times New Roman"/>
        </w:rPr>
        <w:t>1)(b) and S.38(2) A</w:t>
      </w:r>
      <w:r w:rsidR="00433B9C" w:rsidRPr="00951E8F">
        <w:rPr>
          <w:rFonts w:ascii="Times New Roman" w:hAnsi="Times New Roman"/>
        </w:rPr>
        <w:t>CA</w:t>
      </w:r>
      <w:r w:rsidRPr="00951E8F">
        <w:rPr>
          <w:rFonts w:ascii="Times New Roman" w:hAnsi="Times New Roman"/>
        </w:rPr>
        <w:t>, where par</w:t>
      </w:r>
      <w:r w:rsidR="0010097D" w:rsidRPr="00951E8F">
        <w:rPr>
          <w:rFonts w:ascii="Times New Roman" w:hAnsi="Times New Roman"/>
        </w:rPr>
        <w:t xml:space="preserve">ties can positively in writing, </w:t>
      </w:r>
      <w:r w:rsidRPr="00951E8F">
        <w:rPr>
          <w:rFonts w:ascii="Times New Roman" w:hAnsi="Times New Roman"/>
        </w:rPr>
        <w:t>pursuant to S.</w:t>
      </w:r>
      <w:r w:rsidR="0010097D" w:rsidRPr="00951E8F">
        <w:rPr>
          <w:rFonts w:ascii="Times New Roman" w:hAnsi="Times New Roman"/>
        </w:rPr>
        <w:t>3(2) ACA, take up the right of appeal envisaged within the confines of S.38</w:t>
      </w:r>
      <w:r w:rsidR="00433B9C" w:rsidRPr="00951E8F">
        <w:rPr>
          <w:rFonts w:ascii="Times New Roman" w:hAnsi="Times New Roman"/>
        </w:rPr>
        <w:t xml:space="preserve"> ACA</w:t>
      </w:r>
      <w:r w:rsidR="0010097D" w:rsidRPr="00951E8F">
        <w:rPr>
          <w:rFonts w:ascii="Times New Roman" w:hAnsi="Times New Roman"/>
        </w:rPr>
        <w:t>.</w:t>
      </w:r>
    </w:p>
    <w:p w14:paraId="59F954BD" w14:textId="77777777" w:rsidR="0010097D" w:rsidRPr="00951E8F" w:rsidRDefault="0010097D" w:rsidP="005B3A4D">
      <w:pPr>
        <w:spacing w:line="276" w:lineRule="auto"/>
        <w:contextualSpacing/>
        <w:jc w:val="both"/>
        <w:rPr>
          <w:rFonts w:ascii="Times New Roman" w:hAnsi="Times New Roman"/>
        </w:rPr>
      </w:pPr>
    </w:p>
    <w:p w14:paraId="4D34BEBC" w14:textId="1DDDE2D8" w:rsidR="0010097D" w:rsidRPr="00951E8F" w:rsidRDefault="0010097D" w:rsidP="005B3A4D">
      <w:pPr>
        <w:spacing w:line="276" w:lineRule="auto"/>
        <w:contextualSpacing/>
        <w:jc w:val="both"/>
        <w:rPr>
          <w:rFonts w:ascii="Times New Roman" w:hAnsi="Times New Roman"/>
        </w:rPr>
      </w:pPr>
      <w:r w:rsidRPr="00951E8F">
        <w:rPr>
          <w:rFonts w:ascii="Times New Roman" w:hAnsi="Times New Roman"/>
        </w:rPr>
        <w:t>Neither party evidence</w:t>
      </w:r>
      <w:r w:rsidR="00590CEE" w:rsidRPr="00951E8F">
        <w:rPr>
          <w:rFonts w:ascii="Times New Roman" w:hAnsi="Times New Roman"/>
        </w:rPr>
        <w:t>d the</w:t>
      </w:r>
      <w:r w:rsidRPr="00951E8F">
        <w:rPr>
          <w:rFonts w:ascii="Times New Roman" w:hAnsi="Times New Roman"/>
        </w:rPr>
        <w:t xml:space="preserve"> agreed </w:t>
      </w:r>
      <w:r w:rsidR="00590CEE" w:rsidRPr="00951E8F">
        <w:rPr>
          <w:rFonts w:ascii="Times New Roman" w:hAnsi="Times New Roman"/>
        </w:rPr>
        <w:t>appeal-</w:t>
      </w:r>
      <w:r w:rsidRPr="00951E8F">
        <w:rPr>
          <w:rFonts w:ascii="Times New Roman" w:hAnsi="Times New Roman"/>
        </w:rPr>
        <w:t>clause</w:t>
      </w:r>
      <w:r w:rsidR="00590CEE" w:rsidRPr="00951E8F">
        <w:rPr>
          <w:rFonts w:ascii="Times New Roman" w:hAnsi="Times New Roman"/>
        </w:rPr>
        <w:t>,</w:t>
      </w:r>
      <w:r w:rsidRPr="00951E8F">
        <w:rPr>
          <w:rFonts w:ascii="Times New Roman" w:hAnsi="Times New Roman"/>
        </w:rPr>
        <w:t xml:space="preserve"> which impacted on </w:t>
      </w:r>
      <w:r w:rsidR="00923257" w:rsidRPr="00951E8F">
        <w:rPr>
          <w:rFonts w:ascii="Times New Roman" w:hAnsi="Times New Roman"/>
        </w:rPr>
        <w:t>Clause 10 of the suit agreement.</w:t>
      </w:r>
    </w:p>
    <w:p w14:paraId="7B861799" w14:textId="77777777" w:rsidR="00923257" w:rsidRPr="00951E8F" w:rsidRDefault="00923257" w:rsidP="005B3A4D">
      <w:pPr>
        <w:spacing w:line="276" w:lineRule="auto"/>
        <w:contextualSpacing/>
        <w:jc w:val="both"/>
        <w:rPr>
          <w:rFonts w:ascii="Times New Roman" w:hAnsi="Times New Roman"/>
        </w:rPr>
      </w:pPr>
    </w:p>
    <w:p w14:paraId="62443899" w14:textId="77777777" w:rsidR="00923257" w:rsidRPr="00951E8F" w:rsidRDefault="00923257" w:rsidP="005B3A4D">
      <w:pPr>
        <w:spacing w:line="276" w:lineRule="auto"/>
        <w:contextualSpacing/>
        <w:jc w:val="both"/>
        <w:rPr>
          <w:rFonts w:ascii="Times New Roman" w:hAnsi="Times New Roman"/>
        </w:rPr>
      </w:pPr>
      <w:r w:rsidRPr="00951E8F">
        <w:rPr>
          <w:rFonts w:ascii="Times New Roman" w:hAnsi="Times New Roman"/>
        </w:rPr>
        <w:t xml:space="preserve">I turn to interpretation of Clause 10.  </w:t>
      </w:r>
    </w:p>
    <w:p w14:paraId="6E3C34B3" w14:textId="77777777" w:rsidR="00923257" w:rsidRPr="00951E8F" w:rsidRDefault="00923257" w:rsidP="005B3A4D">
      <w:pPr>
        <w:spacing w:line="276" w:lineRule="auto"/>
        <w:contextualSpacing/>
        <w:jc w:val="both"/>
        <w:rPr>
          <w:rFonts w:ascii="Times New Roman" w:hAnsi="Times New Roman"/>
        </w:rPr>
      </w:pPr>
    </w:p>
    <w:p w14:paraId="16BE9F2E" w14:textId="77777777" w:rsidR="00923257" w:rsidRPr="00951E8F" w:rsidRDefault="00923257" w:rsidP="005B3A4D">
      <w:pPr>
        <w:spacing w:line="276" w:lineRule="auto"/>
        <w:contextualSpacing/>
        <w:jc w:val="both"/>
        <w:rPr>
          <w:rFonts w:ascii="Times New Roman" w:hAnsi="Times New Roman"/>
        </w:rPr>
      </w:pPr>
      <w:r w:rsidRPr="00951E8F">
        <w:rPr>
          <w:rFonts w:ascii="Times New Roman" w:hAnsi="Times New Roman"/>
        </w:rPr>
        <w:t>Does it mean mediation or arbitration?</w:t>
      </w:r>
    </w:p>
    <w:p w14:paraId="29ED6DC5" w14:textId="77777777" w:rsidR="00923257" w:rsidRPr="00951E8F" w:rsidRDefault="00923257" w:rsidP="005B3A4D">
      <w:pPr>
        <w:spacing w:line="276" w:lineRule="auto"/>
        <w:contextualSpacing/>
        <w:jc w:val="both"/>
        <w:rPr>
          <w:rFonts w:ascii="Times New Roman" w:hAnsi="Times New Roman"/>
        </w:rPr>
      </w:pPr>
    </w:p>
    <w:p w14:paraId="1498F20A" w14:textId="0CC7B892" w:rsidR="00923257" w:rsidRPr="00951E8F" w:rsidRDefault="00B91000" w:rsidP="005B3A4D">
      <w:pPr>
        <w:spacing w:line="276" w:lineRule="auto"/>
        <w:contextualSpacing/>
        <w:jc w:val="both"/>
        <w:rPr>
          <w:rFonts w:ascii="Times New Roman" w:hAnsi="Times New Roman"/>
        </w:rPr>
      </w:pPr>
      <w:r w:rsidRPr="00951E8F">
        <w:rPr>
          <w:rFonts w:ascii="Times New Roman" w:hAnsi="Times New Roman"/>
        </w:rPr>
        <w:t>No</w:t>
      </w:r>
      <w:r w:rsidR="00923257" w:rsidRPr="00951E8F">
        <w:rPr>
          <w:rFonts w:ascii="Times New Roman" w:hAnsi="Times New Roman"/>
        </w:rPr>
        <w:t xml:space="preserve"> evidence of prior conduct or communication between the parties leaving any evidential trail of </w:t>
      </w:r>
      <w:proofErr w:type="gramStart"/>
      <w:r w:rsidR="00923257" w:rsidRPr="00951E8F">
        <w:rPr>
          <w:rFonts w:ascii="Times New Roman" w:hAnsi="Times New Roman"/>
        </w:rPr>
        <w:t>parties</w:t>
      </w:r>
      <w:proofErr w:type="gramEnd"/>
      <w:r w:rsidR="00923257" w:rsidRPr="00951E8F">
        <w:rPr>
          <w:rFonts w:ascii="Times New Roman" w:hAnsi="Times New Roman"/>
        </w:rPr>
        <w:t xml:space="preserve"> state of mind was placed on record.</w:t>
      </w:r>
    </w:p>
    <w:p w14:paraId="4A8A2A72" w14:textId="77777777" w:rsidR="00923257" w:rsidRPr="00951E8F" w:rsidRDefault="00923257" w:rsidP="005B3A4D">
      <w:pPr>
        <w:spacing w:line="276" w:lineRule="auto"/>
        <w:contextualSpacing/>
        <w:jc w:val="both"/>
        <w:rPr>
          <w:rFonts w:ascii="Times New Roman" w:hAnsi="Times New Roman"/>
        </w:rPr>
      </w:pPr>
    </w:p>
    <w:p w14:paraId="318B35D3" w14:textId="65007C8C" w:rsidR="00923257" w:rsidRPr="00951E8F" w:rsidRDefault="00923257" w:rsidP="005B3A4D">
      <w:pPr>
        <w:spacing w:line="276" w:lineRule="auto"/>
        <w:contextualSpacing/>
        <w:jc w:val="both"/>
        <w:rPr>
          <w:rFonts w:ascii="Times New Roman" w:hAnsi="Times New Roman"/>
        </w:rPr>
      </w:pPr>
      <w:r w:rsidRPr="00951E8F">
        <w:rPr>
          <w:rFonts w:ascii="Times New Roman" w:hAnsi="Times New Roman"/>
        </w:rPr>
        <w:t xml:space="preserve">The mix up between mediation and arbitration is pinned down to the applicant’s advocate communication which talks </w:t>
      </w:r>
      <w:proofErr w:type="gramStart"/>
      <w:r w:rsidRPr="00951E8F">
        <w:rPr>
          <w:rFonts w:ascii="Times New Roman" w:hAnsi="Times New Roman"/>
        </w:rPr>
        <w:t xml:space="preserve">of </w:t>
      </w:r>
      <w:r w:rsidR="00B91000" w:rsidRPr="00951E8F">
        <w:rPr>
          <w:rFonts w:ascii="Times New Roman" w:hAnsi="Times New Roman"/>
        </w:rPr>
        <w:t xml:space="preserve"> </w:t>
      </w:r>
      <w:r w:rsidRPr="00951E8F">
        <w:rPr>
          <w:rFonts w:ascii="Times New Roman" w:hAnsi="Times New Roman"/>
        </w:rPr>
        <w:t>“</w:t>
      </w:r>
      <w:proofErr w:type="gramEnd"/>
      <w:r w:rsidRPr="00951E8F">
        <w:rPr>
          <w:rFonts w:ascii="Times New Roman" w:hAnsi="Times New Roman"/>
          <w:i/>
        </w:rPr>
        <w:t>settlement by arbitration</w:t>
      </w:r>
      <w:r w:rsidRPr="00951E8F">
        <w:rPr>
          <w:rFonts w:ascii="Times New Roman" w:hAnsi="Times New Roman"/>
        </w:rPr>
        <w:t>”</w:t>
      </w:r>
      <w:r w:rsidR="002D6809" w:rsidRPr="00951E8F">
        <w:rPr>
          <w:rFonts w:ascii="Times New Roman" w:hAnsi="Times New Roman"/>
        </w:rPr>
        <w:t xml:space="preserve"> and “</w:t>
      </w:r>
      <w:r w:rsidR="002D6809" w:rsidRPr="00951E8F">
        <w:rPr>
          <w:rFonts w:ascii="Times New Roman" w:hAnsi="Times New Roman"/>
          <w:i/>
        </w:rPr>
        <w:t>nomination of mediators</w:t>
      </w:r>
      <w:r w:rsidR="002D6809" w:rsidRPr="00951E8F">
        <w:rPr>
          <w:rFonts w:ascii="Times New Roman" w:hAnsi="Times New Roman"/>
        </w:rPr>
        <w:t>”</w:t>
      </w:r>
      <w:r w:rsidRPr="00951E8F">
        <w:rPr>
          <w:rFonts w:ascii="Times New Roman" w:hAnsi="Times New Roman"/>
        </w:rPr>
        <w:t>.</w:t>
      </w:r>
    </w:p>
    <w:p w14:paraId="449CB465" w14:textId="77777777" w:rsidR="002D6809" w:rsidRPr="00951E8F" w:rsidRDefault="002D6809" w:rsidP="005B3A4D">
      <w:pPr>
        <w:spacing w:line="276" w:lineRule="auto"/>
        <w:contextualSpacing/>
        <w:jc w:val="both"/>
        <w:rPr>
          <w:rFonts w:ascii="Times New Roman" w:hAnsi="Times New Roman"/>
        </w:rPr>
      </w:pPr>
    </w:p>
    <w:p w14:paraId="4AC1713D" w14:textId="77777777" w:rsidR="002D6809" w:rsidRPr="00951E8F" w:rsidRDefault="002D6809" w:rsidP="005B3A4D">
      <w:pPr>
        <w:spacing w:line="276" w:lineRule="auto"/>
        <w:contextualSpacing/>
        <w:jc w:val="both"/>
        <w:rPr>
          <w:rFonts w:ascii="Times New Roman" w:hAnsi="Times New Roman"/>
        </w:rPr>
      </w:pPr>
      <w:r w:rsidRPr="00951E8F">
        <w:rPr>
          <w:rFonts w:ascii="Times New Roman" w:hAnsi="Times New Roman"/>
        </w:rPr>
        <w:t xml:space="preserve">We resolve this by noting that an </w:t>
      </w:r>
      <w:proofErr w:type="gramStart"/>
      <w:r w:rsidRPr="00951E8F">
        <w:rPr>
          <w:rFonts w:ascii="Times New Roman" w:hAnsi="Times New Roman"/>
        </w:rPr>
        <w:t>advocates</w:t>
      </w:r>
      <w:proofErr w:type="gramEnd"/>
      <w:r w:rsidRPr="00951E8F">
        <w:rPr>
          <w:rFonts w:ascii="Times New Roman" w:hAnsi="Times New Roman"/>
        </w:rPr>
        <w:t xml:space="preserve"> error cannot infect a contractual clause one way or the other, because the clause speaks for itself.</w:t>
      </w:r>
    </w:p>
    <w:p w14:paraId="7A22163C" w14:textId="77777777" w:rsidR="002D6809" w:rsidRPr="00951E8F" w:rsidRDefault="002D6809" w:rsidP="005B3A4D">
      <w:pPr>
        <w:spacing w:line="276" w:lineRule="auto"/>
        <w:contextualSpacing/>
        <w:jc w:val="both"/>
        <w:rPr>
          <w:rFonts w:ascii="Times New Roman" w:hAnsi="Times New Roman"/>
        </w:rPr>
      </w:pPr>
    </w:p>
    <w:p w14:paraId="08BBFD47" w14:textId="77777777" w:rsidR="002D6809" w:rsidRPr="00951E8F" w:rsidRDefault="002D6809" w:rsidP="005B3A4D">
      <w:pPr>
        <w:spacing w:line="276" w:lineRule="auto"/>
        <w:contextualSpacing/>
        <w:jc w:val="both"/>
        <w:rPr>
          <w:rFonts w:ascii="Times New Roman" w:hAnsi="Times New Roman"/>
        </w:rPr>
      </w:pPr>
      <w:r w:rsidRPr="00951E8F">
        <w:rPr>
          <w:rFonts w:ascii="Times New Roman" w:hAnsi="Times New Roman"/>
        </w:rPr>
        <w:t xml:space="preserve">The essence of an arbitration clause is defined by </w:t>
      </w:r>
      <w:proofErr w:type="gramStart"/>
      <w:r w:rsidRPr="00951E8F">
        <w:rPr>
          <w:rFonts w:ascii="Times New Roman" w:hAnsi="Times New Roman"/>
        </w:rPr>
        <w:t>S.2(</w:t>
      </w:r>
      <w:proofErr w:type="gramEnd"/>
      <w:r w:rsidRPr="00951E8F">
        <w:rPr>
          <w:rFonts w:ascii="Times New Roman" w:hAnsi="Times New Roman"/>
        </w:rPr>
        <w:t>1)(c) ACA, which states that,</w:t>
      </w:r>
    </w:p>
    <w:p w14:paraId="2EF03B7A" w14:textId="77777777" w:rsidR="002D6809" w:rsidRPr="00951E8F" w:rsidRDefault="002D6809" w:rsidP="005B3A4D">
      <w:pPr>
        <w:spacing w:line="276" w:lineRule="auto"/>
        <w:contextualSpacing/>
        <w:jc w:val="both"/>
        <w:rPr>
          <w:rFonts w:ascii="Times New Roman" w:hAnsi="Times New Roman"/>
        </w:rPr>
      </w:pPr>
    </w:p>
    <w:p w14:paraId="51267104" w14:textId="77777777" w:rsidR="002D6809" w:rsidRPr="00951E8F" w:rsidRDefault="002D6809" w:rsidP="005B3A4D">
      <w:pPr>
        <w:spacing w:line="276" w:lineRule="auto"/>
        <w:ind w:left="2160"/>
        <w:contextualSpacing/>
        <w:jc w:val="both"/>
        <w:rPr>
          <w:rFonts w:ascii="Times New Roman" w:hAnsi="Times New Roman"/>
        </w:rPr>
      </w:pPr>
      <w:r w:rsidRPr="00951E8F">
        <w:rPr>
          <w:rFonts w:ascii="Times New Roman" w:hAnsi="Times New Roman"/>
        </w:rPr>
        <w:t>“</w:t>
      </w:r>
      <w:r w:rsidR="003C410E" w:rsidRPr="00951E8F">
        <w:rPr>
          <w:rFonts w:ascii="Times New Roman" w:hAnsi="Times New Roman"/>
        </w:rPr>
        <w:t xml:space="preserve"> ‘arbitration’ means an agreement by the parties to submit to arbitration all or certain disputes which have arisen or which may arise between them in respect of a defined legal relationship, whether contractual or not</w:t>
      </w:r>
      <w:r w:rsidRPr="00951E8F">
        <w:rPr>
          <w:rFonts w:ascii="Times New Roman" w:hAnsi="Times New Roman"/>
        </w:rPr>
        <w:t>”</w:t>
      </w:r>
    </w:p>
    <w:p w14:paraId="4ACA7B0C" w14:textId="77777777" w:rsidR="002D6809" w:rsidRPr="00951E8F" w:rsidRDefault="002D6809" w:rsidP="005B3A4D">
      <w:pPr>
        <w:spacing w:line="276" w:lineRule="auto"/>
        <w:contextualSpacing/>
        <w:jc w:val="both"/>
        <w:rPr>
          <w:rFonts w:ascii="Times New Roman" w:hAnsi="Times New Roman"/>
        </w:rPr>
      </w:pPr>
    </w:p>
    <w:p w14:paraId="54DF57F8" w14:textId="77777777" w:rsidR="003C410E" w:rsidRPr="00951E8F" w:rsidRDefault="002C4D83" w:rsidP="005B3A4D">
      <w:pPr>
        <w:spacing w:line="276" w:lineRule="auto"/>
        <w:contextualSpacing/>
        <w:jc w:val="both"/>
        <w:rPr>
          <w:rFonts w:ascii="Times New Roman" w:hAnsi="Times New Roman"/>
        </w:rPr>
      </w:pPr>
      <w:r w:rsidRPr="00951E8F">
        <w:rPr>
          <w:rFonts w:ascii="Times New Roman" w:hAnsi="Times New Roman"/>
        </w:rPr>
        <w:t>S.2(1)(c) ACA informs us that the definition is with re</w:t>
      </w:r>
      <w:r w:rsidR="00B92599" w:rsidRPr="00951E8F">
        <w:rPr>
          <w:rFonts w:ascii="Times New Roman" w:hAnsi="Times New Roman"/>
        </w:rPr>
        <w:t xml:space="preserve">gard to the process of submission but not the detail, such as we have seen above in the </w:t>
      </w:r>
      <w:proofErr w:type="spellStart"/>
      <w:r w:rsidR="00B92599" w:rsidRPr="00951E8F">
        <w:rPr>
          <w:rFonts w:ascii="Times New Roman" w:hAnsi="Times New Roman"/>
          <w:b/>
          <w:i/>
        </w:rPr>
        <w:t>Centrotrade</w:t>
      </w:r>
      <w:proofErr w:type="spellEnd"/>
      <w:r w:rsidR="00B92599" w:rsidRPr="00951E8F">
        <w:rPr>
          <w:rFonts w:ascii="Times New Roman" w:hAnsi="Times New Roman"/>
        </w:rPr>
        <w:t xml:space="preserve"> which is left for completion under the party autonomy umbrella.</w:t>
      </w:r>
    </w:p>
    <w:p w14:paraId="173EB26B" w14:textId="77777777" w:rsidR="00B92599" w:rsidRPr="00951E8F" w:rsidRDefault="00B92599" w:rsidP="005B3A4D">
      <w:pPr>
        <w:spacing w:line="276" w:lineRule="auto"/>
        <w:contextualSpacing/>
        <w:jc w:val="both"/>
        <w:rPr>
          <w:rFonts w:ascii="Times New Roman" w:hAnsi="Times New Roman"/>
        </w:rPr>
      </w:pPr>
    </w:p>
    <w:p w14:paraId="5B4F66DF" w14:textId="77777777" w:rsidR="00B92599" w:rsidRPr="00951E8F" w:rsidRDefault="00B92599" w:rsidP="005B3A4D">
      <w:pPr>
        <w:spacing w:line="276" w:lineRule="auto"/>
        <w:contextualSpacing/>
        <w:jc w:val="both"/>
        <w:rPr>
          <w:rFonts w:ascii="Times New Roman" w:hAnsi="Times New Roman"/>
        </w:rPr>
      </w:pPr>
      <w:r w:rsidRPr="00951E8F">
        <w:rPr>
          <w:rFonts w:ascii="Times New Roman" w:hAnsi="Times New Roman"/>
        </w:rPr>
        <w:t xml:space="preserve">In </w:t>
      </w:r>
      <w:r w:rsidRPr="00951E8F">
        <w:rPr>
          <w:rFonts w:ascii="Times New Roman" w:hAnsi="Times New Roman"/>
          <w:b/>
          <w:i/>
        </w:rPr>
        <w:t xml:space="preserve">Delta Industrial </w:t>
      </w:r>
      <w:proofErr w:type="spellStart"/>
      <w:r w:rsidRPr="00951E8F">
        <w:rPr>
          <w:rFonts w:ascii="Times New Roman" w:hAnsi="Times New Roman"/>
          <w:b/>
          <w:i/>
        </w:rPr>
        <w:t>Equipemnt</w:t>
      </w:r>
      <w:proofErr w:type="spellEnd"/>
      <w:r w:rsidRPr="00951E8F">
        <w:rPr>
          <w:rFonts w:ascii="Times New Roman" w:hAnsi="Times New Roman"/>
          <w:b/>
          <w:i/>
        </w:rPr>
        <w:t xml:space="preserve"> Ltd versus </w:t>
      </w:r>
      <w:proofErr w:type="spellStart"/>
      <w:r w:rsidRPr="00951E8F">
        <w:rPr>
          <w:rFonts w:ascii="Times New Roman" w:hAnsi="Times New Roman"/>
          <w:b/>
          <w:i/>
        </w:rPr>
        <w:t>Uchumi</w:t>
      </w:r>
      <w:proofErr w:type="spellEnd"/>
      <w:r w:rsidRPr="00951E8F">
        <w:rPr>
          <w:rFonts w:ascii="Times New Roman" w:hAnsi="Times New Roman"/>
          <w:b/>
          <w:i/>
        </w:rPr>
        <w:t xml:space="preserve"> Supermarkets Ltd</w:t>
      </w:r>
      <w:r w:rsidRPr="00951E8F">
        <w:rPr>
          <w:rFonts w:ascii="Times New Roman" w:hAnsi="Times New Roman"/>
        </w:rPr>
        <w:t>, CAD/ARB/12/14 it was held that the effect of S.2(1)(c) ACA is to cure any defect created by a terse or rambling dispute resolution clause.</w:t>
      </w:r>
    </w:p>
    <w:p w14:paraId="102A551A" w14:textId="77777777" w:rsidR="002317F9" w:rsidRPr="00951E8F" w:rsidRDefault="002317F9" w:rsidP="005B3A4D">
      <w:pPr>
        <w:spacing w:line="276" w:lineRule="auto"/>
        <w:contextualSpacing/>
        <w:jc w:val="both"/>
        <w:rPr>
          <w:rFonts w:ascii="Times New Roman" w:hAnsi="Times New Roman"/>
        </w:rPr>
      </w:pPr>
    </w:p>
    <w:p w14:paraId="430F82FD" w14:textId="77777777" w:rsidR="002317F9" w:rsidRPr="00951E8F" w:rsidRDefault="002317F9" w:rsidP="005B3A4D">
      <w:pPr>
        <w:spacing w:line="276" w:lineRule="auto"/>
        <w:contextualSpacing/>
        <w:jc w:val="both"/>
        <w:rPr>
          <w:rFonts w:ascii="Times New Roman" w:hAnsi="Times New Roman"/>
        </w:rPr>
      </w:pPr>
      <w:r w:rsidRPr="00951E8F">
        <w:rPr>
          <w:rFonts w:ascii="Times New Roman" w:hAnsi="Times New Roman"/>
        </w:rPr>
        <w:t xml:space="preserve">In this case the intention of the parties is properly </w:t>
      </w:r>
      <w:proofErr w:type="spellStart"/>
      <w:r w:rsidRPr="00951E8F">
        <w:rPr>
          <w:rFonts w:ascii="Times New Roman" w:hAnsi="Times New Roman"/>
        </w:rPr>
        <w:t>captyred</w:t>
      </w:r>
      <w:proofErr w:type="spellEnd"/>
      <w:r w:rsidRPr="00951E8F">
        <w:rPr>
          <w:rFonts w:ascii="Times New Roman" w:hAnsi="Times New Roman"/>
        </w:rPr>
        <w:t xml:space="preserve"> by separating “</w:t>
      </w:r>
      <w:r w:rsidRPr="00951E8F">
        <w:rPr>
          <w:rFonts w:ascii="Times New Roman" w:hAnsi="Times New Roman"/>
          <w:i/>
        </w:rPr>
        <w:t>in case of failure of the arbitration shall be referred to courts of law</w:t>
      </w:r>
      <w:r w:rsidRPr="00951E8F">
        <w:rPr>
          <w:rFonts w:ascii="Times New Roman" w:hAnsi="Times New Roman"/>
        </w:rPr>
        <w:t>”</w:t>
      </w:r>
      <w:r w:rsidR="00B654B8" w:rsidRPr="00951E8F">
        <w:rPr>
          <w:rFonts w:ascii="Times New Roman" w:hAnsi="Times New Roman"/>
        </w:rPr>
        <w:t xml:space="preserve"> since ‘</w:t>
      </w:r>
      <w:r w:rsidR="00B654B8" w:rsidRPr="00951E8F">
        <w:rPr>
          <w:rFonts w:ascii="Times New Roman" w:hAnsi="Times New Roman"/>
          <w:b/>
        </w:rPr>
        <w:t>and</w:t>
      </w:r>
      <w:r w:rsidR="00B654B8" w:rsidRPr="00951E8F">
        <w:rPr>
          <w:rFonts w:ascii="Times New Roman" w:hAnsi="Times New Roman"/>
        </w:rPr>
        <w:t>’ is a continuation of the specific subject matter of failure.</w:t>
      </w:r>
    </w:p>
    <w:p w14:paraId="4520F4C2" w14:textId="77777777" w:rsidR="00B654B8" w:rsidRPr="00951E8F" w:rsidRDefault="00B654B8" w:rsidP="005B3A4D">
      <w:pPr>
        <w:spacing w:line="276" w:lineRule="auto"/>
        <w:contextualSpacing/>
        <w:jc w:val="both"/>
        <w:rPr>
          <w:rFonts w:ascii="Times New Roman" w:hAnsi="Times New Roman"/>
        </w:rPr>
      </w:pPr>
    </w:p>
    <w:p w14:paraId="1C5A8FF2" w14:textId="77777777" w:rsidR="00B654B8" w:rsidRPr="00951E8F" w:rsidRDefault="00B654B8" w:rsidP="005B3A4D">
      <w:pPr>
        <w:spacing w:line="276" w:lineRule="auto"/>
        <w:contextualSpacing/>
        <w:jc w:val="both"/>
        <w:rPr>
          <w:rFonts w:ascii="Times New Roman" w:hAnsi="Times New Roman"/>
        </w:rPr>
      </w:pPr>
      <w:r w:rsidRPr="00951E8F">
        <w:rPr>
          <w:rFonts w:ascii="Times New Roman" w:hAnsi="Times New Roman"/>
        </w:rPr>
        <w:t>The effect of and is severance.</w:t>
      </w:r>
    </w:p>
    <w:p w14:paraId="5950E5BE" w14:textId="77777777" w:rsidR="00B654B8" w:rsidRPr="00951E8F" w:rsidRDefault="00B654B8" w:rsidP="005B3A4D">
      <w:pPr>
        <w:spacing w:line="276" w:lineRule="auto"/>
        <w:contextualSpacing/>
        <w:jc w:val="both"/>
        <w:rPr>
          <w:rFonts w:ascii="Times New Roman" w:hAnsi="Times New Roman"/>
        </w:rPr>
      </w:pPr>
    </w:p>
    <w:p w14:paraId="0F8A9805" w14:textId="77777777" w:rsidR="00B654B8" w:rsidRPr="00951E8F" w:rsidRDefault="00B654B8" w:rsidP="005B3A4D">
      <w:pPr>
        <w:spacing w:line="276" w:lineRule="auto"/>
        <w:contextualSpacing/>
        <w:jc w:val="both"/>
        <w:rPr>
          <w:rFonts w:ascii="Times New Roman" w:hAnsi="Times New Roman"/>
        </w:rPr>
      </w:pPr>
      <w:r w:rsidRPr="00951E8F">
        <w:rPr>
          <w:rFonts w:ascii="Times New Roman" w:hAnsi="Times New Roman"/>
        </w:rPr>
        <w:t>So far no proof of failure was evidence.</w:t>
      </w:r>
    </w:p>
    <w:p w14:paraId="52F6C42B" w14:textId="77777777" w:rsidR="00B654B8" w:rsidRPr="00951E8F" w:rsidRDefault="00B654B8" w:rsidP="005B3A4D">
      <w:pPr>
        <w:spacing w:line="276" w:lineRule="auto"/>
        <w:contextualSpacing/>
        <w:jc w:val="both"/>
        <w:rPr>
          <w:rFonts w:ascii="Times New Roman" w:hAnsi="Times New Roman"/>
        </w:rPr>
      </w:pPr>
    </w:p>
    <w:p w14:paraId="5FD082FB" w14:textId="77777777" w:rsidR="00B654B8" w:rsidRPr="00951E8F" w:rsidRDefault="00B654B8" w:rsidP="005B3A4D">
      <w:pPr>
        <w:spacing w:line="276" w:lineRule="auto"/>
        <w:contextualSpacing/>
        <w:jc w:val="both"/>
        <w:rPr>
          <w:rFonts w:ascii="Times New Roman" w:hAnsi="Times New Roman"/>
        </w:rPr>
      </w:pPr>
      <w:r w:rsidRPr="00951E8F">
        <w:rPr>
          <w:rFonts w:ascii="Times New Roman" w:hAnsi="Times New Roman"/>
        </w:rPr>
        <w:t>In the same vein S.9 ACA is relevant when considering the Court’s jurisdiction which did not arise before me.</w:t>
      </w:r>
    </w:p>
    <w:p w14:paraId="5D3DBD76" w14:textId="77777777" w:rsidR="00B654B8" w:rsidRPr="00951E8F" w:rsidRDefault="00B654B8" w:rsidP="005B3A4D">
      <w:pPr>
        <w:spacing w:line="276" w:lineRule="auto"/>
        <w:contextualSpacing/>
        <w:jc w:val="both"/>
        <w:rPr>
          <w:rFonts w:ascii="Times New Roman" w:hAnsi="Times New Roman"/>
        </w:rPr>
      </w:pPr>
    </w:p>
    <w:p w14:paraId="249A2F63" w14:textId="77777777" w:rsidR="00B654B8" w:rsidRPr="00951E8F" w:rsidRDefault="00B654B8" w:rsidP="005B3A4D">
      <w:pPr>
        <w:spacing w:line="276" w:lineRule="auto"/>
        <w:contextualSpacing/>
        <w:jc w:val="both"/>
        <w:rPr>
          <w:rFonts w:ascii="Times New Roman" w:hAnsi="Times New Roman"/>
        </w:rPr>
      </w:pPr>
      <w:r w:rsidRPr="00951E8F">
        <w:rPr>
          <w:rFonts w:ascii="Times New Roman" w:hAnsi="Times New Roman"/>
        </w:rPr>
        <w:t>S.34 AC is also not relevant to the extent that no award has been evidenced for my consideration.</w:t>
      </w:r>
    </w:p>
    <w:p w14:paraId="4A18A26F" w14:textId="77777777" w:rsidR="00B654B8" w:rsidRPr="00951E8F" w:rsidRDefault="00B654B8" w:rsidP="005B3A4D">
      <w:pPr>
        <w:spacing w:line="276" w:lineRule="auto"/>
        <w:contextualSpacing/>
        <w:jc w:val="both"/>
        <w:rPr>
          <w:rFonts w:ascii="Times New Roman" w:hAnsi="Times New Roman"/>
        </w:rPr>
      </w:pPr>
    </w:p>
    <w:p w14:paraId="2E1C6261" w14:textId="77777777" w:rsidR="00B654B8" w:rsidRPr="00951E8F" w:rsidRDefault="00B654B8" w:rsidP="005B3A4D">
      <w:pPr>
        <w:spacing w:line="276" w:lineRule="auto"/>
        <w:contextualSpacing/>
        <w:jc w:val="both"/>
        <w:rPr>
          <w:rFonts w:ascii="Times New Roman" w:hAnsi="Times New Roman"/>
        </w:rPr>
      </w:pPr>
      <w:r w:rsidRPr="00951E8F">
        <w:rPr>
          <w:rFonts w:ascii="Times New Roman" w:hAnsi="Times New Roman"/>
        </w:rPr>
        <w:lastRenderedPageBreak/>
        <w:t>L</w:t>
      </w:r>
      <w:r w:rsidR="00747C06" w:rsidRPr="00951E8F">
        <w:rPr>
          <w:rFonts w:ascii="Times New Roman" w:hAnsi="Times New Roman"/>
        </w:rPr>
        <w:t>a</w:t>
      </w:r>
      <w:r w:rsidRPr="00951E8F">
        <w:rPr>
          <w:rFonts w:ascii="Times New Roman" w:hAnsi="Times New Roman"/>
        </w:rPr>
        <w:t>stl</w:t>
      </w:r>
      <w:r w:rsidR="00747C06" w:rsidRPr="00951E8F">
        <w:rPr>
          <w:rFonts w:ascii="Times New Roman" w:hAnsi="Times New Roman"/>
        </w:rPr>
        <w:t>y, it has to be reiterated that the creation of an arbitral tribunal ideally requires mutual effort by both counsel</w:t>
      </w:r>
      <w:r w:rsidR="00665408" w:rsidRPr="00951E8F">
        <w:rPr>
          <w:rFonts w:ascii="Times New Roman" w:hAnsi="Times New Roman"/>
        </w:rPr>
        <w:t>.</w:t>
      </w:r>
    </w:p>
    <w:p w14:paraId="11F6E5DA" w14:textId="77777777" w:rsidR="00665408" w:rsidRPr="00951E8F" w:rsidRDefault="00665408" w:rsidP="005B3A4D">
      <w:pPr>
        <w:spacing w:line="276" w:lineRule="auto"/>
        <w:contextualSpacing/>
        <w:jc w:val="both"/>
        <w:rPr>
          <w:rFonts w:ascii="Times New Roman" w:hAnsi="Times New Roman"/>
        </w:rPr>
      </w:pPr>
    </w:p>
    <w:p w14:paraId="47DCA207" w14:textId="77777777" w:rsidR="00665408" w:rsidRPr="00951E8F" w:rsidRDefault="00665408" w:rsidP="005B3A4D">
      <w:pPr>
        <w:spacing w:line="276" w:lineRule="auto"/>
        <w:contextualSpacing/>
        <w:jc w:val="both"/>
        <w:rPr>
          <w:rFonts w:ascii="Times New Roman" w:hAnsi="Times New Roman"/>
        </w:rPr>
      </w:pPr>
      <w:r w:rsidRPr="00951E8F">
        <w:rPr>
          <w:rFonts w:ascii="Times New Roman" w:hAnsi="Times New Roman"/>
        </w:rPr>
        <w:t>In </w:t>
      </w:r>
      <w:proofErr w:type="spellStart"/>
      <w:r w:rsidRPr="00951E8F">
        <w:rPr>
          <w:rFonts w:ascii="Times New Roman" w:hAnsi="Times New Roman"/>
          <w:b/>
          <w:i/>
        </w:rPr>
        <w:t>Roko</w:t>
      </w:r>
      <w:proofErr w:type="spellEnd"/>
      <w:r w:rsidRPr="00951E8F">
        <w:rPr>
          <w:rFonts w:ascii="Times New Roman" w:hAnsi="Times New Roman"/>
          <w:b/>
          <w:i/>
        </w:rPr>
        <w:t xml:space="preserve"> Construction Ltd v. </w:t>
      </w:r>
      <w:proofErr w:type="spellStart"/>
      <w:r w:rsidRPr="00951E8F">
        <w:rPr>
          <w:rFonts w:ascii="Times New Roman" w:hAnsi="Times New Roman"/>
          <w:b/>
          <w:i/>
        </w:rPr>
        <w:t>Aya</w:t>
      </w:r>
      <w:proofErr w:type="spellEnd"/>
      <w:r w:rsidRPr="00951E8F">
        <w:rPr>
          <w:rFonts w:ascii="Times New Roman" w:hAnsi="Times New Roman"/>
          <w:b/>
          <w:i/>
        </w:rPr>
        <w:t xml:space="preserve"> Ba</w:t>
      </w:r>
      <w:r w:rsidR="00DF08AA" w:rsidRPr="00951E8F">
        <w:rPr>
          <w:rFonts w:ascii="Times New Roman" w:hAnsi="Times New Roman"/>
          <w:b/>
          <w:i/>
        </w:rPr>
        <w:t>kery (U) Ltd</w:t>
      </w:r>
      <w:r w:rsidR="00DF08AA" w:rsidRPr="00951E8F">
        <w:rPr>
          <w:rFonts w:ascii="Times New Roman" w:hAnsi="Times New Roman"/>
        </w:rPr>
        <w:t>, CAD/ARB/10/2007, it was further</w:t>
      </w:r>
      <w:r w:rsidRPr="00951E8F">
        <w:rPr>
          <w:rFonts w:ascii="Times New Roman" w:hAnsi="Times New Roman"/>
        </w:rPr>
        <w:t xml:space="preserve"> observed that,</w:t>
      </w:r>
    </w:p>
    <w:p w14:paraId="7640CB78" w14:textId="77777777" w:rsidR="00665408" w:rsidRPr="00951E8F" w:rsidRDefault="00665408" w:rsidP="005B3A4D">
      <w:pPr>
        <w:spacing w:line="276" w:lineRule="auto"/>
        <w:contextualSpacing/>
        <w:jc w:val="both"/>
        <w:rPr>
          <w:rFonts w:ascii="Times New Roman" w:hAnsi="Times New Roman"/>
        </w:rPr>
      </w:pPr>
      <w:r w:rsidRPr="00951E8F">
        <w:rPr>
          <w:rFonts w:ascii="Times New Roman" w:hAnsi="Times New Roman"/>
        </w:rPr>
        <w:t> </w:t>
      </w:r>
    </w:p>
    <w:p w14:paraId="2ECAAE22" w14:textId="77777777" w:rsidR="00665408" w:rsidRPr="00951E8F" w:rsidRDefault="00665408" w:rsidP="005B3A4D">
      <w:pPr>
        <w:spacing w:line="276" w:lineRule="auto"/>
        <w:ind w:left="2160"/>
        <w:contextualSpacing/>
        <w:jc w:val="both"/>
        <w:rPr>
          <w:rFonts w:ascii="Times New Roman" w:hAnsi="Times New Roman"/>
        </w:rPr>
      </w:pPr>
      <w:r w:rsidRPr="00951E8F">
        <w:rPr>
          <w:rFonts w:ascii="Times New Roman" w:hAnsi="Times New Roman"/>
        </w:rPr>
        <w:t>“The Respondent’s failure to co-operate, in the appointment of the arbitrator, does not augur well, in light of the dual obligation, imposed upon all parties under the arbitration clause, which was wisely expounded by Lord MacMillan sixty five years, in the House of Lords, in </w:t>
      </w:r>
      <w:proofErr w:type="spellStart"/>
      <w:r w:rsidRPr="00951E8F">
        <w:rPr>
          <w:rFonts w:ascii="Times New Roman" w:hAnsi="Times New Roman"/>
          <w:b/>
          <w:i/>
        </w:rPr>
        <w:t>Heyman</w:t>
      </w:r>
      <w:proofErr w:type="spellEnd"/>
      <w:r w:rsidRPr="00951E8F">
        <w:rPr>
          <w:rFonts w:ascii="Times New Roman" w:hAnsi="Times New Roman"/>
          <w:b/>
          <w:i/>
        </w:rPr>
        <w:t xml:space="preserve"> v </w:t>
      </w:r>
      <w:proofErr w:type="spellStart"/>
      <w:r w:rsidRPr="00951E8F">
        <w:rPr>
          <w:rFonts w:ascii="Times New Roman" w:hAnsi="Times New Roman"/>
          <w:b/>
          <w:i/>
        </w:rPr>
        <w:t>Darwins</w:t>
      </w:r>
      <w:proofErr w:type="spellEnd"/>
      <w:r w:rsidRPr="00951E8F">
        <w:rPr>
          <w:rFonts w:ascii="Times New Roman" w:hAnsi="Times New Roman"/>
        </w:rPr>
        <w:t>, [1942]All E.R. 337, 347D as follows,</w:t>
      </w:r>
    </w:p>
    <w:p w14:paraId="30872BCA" w14:textId="77777777" w:rsidR="00665408" w:rsidRPr="00951E8F" w:rsidRDefault="00665408" w:rsidP="005B3A4D">
      <w:pPr>
        <w:spacing w:line="276" w:lineRule="auto"/>
        <w:ind w:left="2160"/>
        <w:contextualSpacing/>
        <w:jc w:val="both"/>
        <w:rPr>
          <w:rFonts w:ascii="Times New Roman" w:hAnsi="Times New Roman"/>
        </w:rPr>
      </w:pPr>
      <w:r w:rsidRPr="00951E8F">
        <w:rPr>
          <w:rFonts w:ascii="Times New Roman" w:hAnsi="Times New Roman"/>
        </w:rPr>
        <w:t> </w:t>
      </w:r>
    </w:p>
    <w:p w14:paraId="4CA7AB44" w14:textId="77777777" w:rsidR="00665408" w:rsidRPr="00951E8F" w:rsidRDefault="00665408" w:rsidP="005B3A4D">
      <w:pPr>
        <w:spacing w:line="276" w:lineRule="auto"/>
        <w:ind w:left="2160"/>
        <w:contextualSpacing/>
        <w:jc w:val="both"/>
        <w:rPr>
          <w:rFonts w:ascii="Times New Roman" w:hAnsi="Times New Roman"/>
        </w:rPr>
      </w:pPr>
      <w:r w:rsidRPr="00951E8F">
        <w:rPr>
          <w:rFonts w:ascii="Times New Roman" w:hAnsi="Times New Roman"/>
        </w:rPr>
        <w:t>“I venture to think that not enough attention has been directed to the true nature and function of an arbitration clause in a contract.  It is quite distinct from the other clauses.  The other clauses set out the obligations which the parties undertake to each other </w:t>
      </w:r>
      <w:proofErr w:type="spellStart"/>
      <w:r w:rsidRPr="00951E8F">
        <w:rPr>
          <w:rFonts w:ascii="Times New Roman" w:hAnsi="Times New Roman"/>
        </w:rPr>
        <w:t>hinc</w:t>
      </w:r>
      <w:proofErr w:type="spellEnd"/>
      <w:r w:rsidRPr="00951E8F">
        <w:rPr>
          <w:rFonts w:ascii="Times New Roman" w:hAnsi="Times New Roman"/>
        </w:rPr>
        <w:t xml:space="preserve"> </w:t>
      </w:r>
      <w:proofErr w:type="spellStart"/>
      <w:r w:rsidRPr="00951E8F">
        <w:rPr>
          <w:rFonts w:ascii="Times New Roman" w:hAnsi="Times New Roman"/>
        </w:rPr>
        <w:t>inde</w:t>
      </w:r>
      <w:proofErr w:type="spellEnd"/>
      <w:r w:rsidRPr="00951E8F">
        <w:rPr>
          <w:rFonts w:ascii="Times New Roman" w:hAnsi="Times New Roman"/>
        </w:rPr>
        <w:t xml:space="preserve">; but the arbitration clause does not impose on one of the parties an obligation in </w:t>
      </w:r>
      <w:proofErr w:type="spellStart"/>
      <w:r w:rsidRPr="00951E8F">
        <w:rPr>
          <w:rFonts w:ascii="Times New Roman" w:hAnsi="Times New Roman"/>
        </w:rPr>
        <w:t>favour</w:t>
      </w:r>
      <w:proofErr w:type="spellEnd"/>
      <w:r w:rsidRPr="00951E8F">
        <w:rPr>
          <w:rFonts w:ascii="Times New Roman" w:hAnsi="Times New Roman"/>
        </w:rPr>
        <w:t xml:space="preserve"> of the other.  It embodies the agreement of both parties that, if any dispute arises with regard to the obligations which one the one party has undertaken to the other, such dispute shall be settled by a tribunal of their own constitution.”</w:t>
      </w:r>
    </w:p>
    <w:p w14:paraId="57622319" w14:textId="77777777" w:rsidR="00665408" w:rsidRPr="00951E8F" w:rsidRDefault="00665408" w:rsidP="005B3A4D">
      <w:pPr>
        <w:spacing w:line="276" w:lineRule="auto"/>
        <w:contextualSpacing/>
        <w:jc w:val="both"/>
        <w:rPr>
          <w:rFonts w:ascii="Times New Roman" w:hAnsi="Times New Roman"/>
        </w:rPr>
      </w:pPr>
    </w:p>
    <w:p w14:paraId="6AE9564A" w14:textId="77777777" w:rsidR="00183C15" w:rsidRPr="00951E8F" w:rsidRDefault="006D58DB" w:rsidP="005B3A4D">
      <w:pPr>
        <w:spacing w:line="276" w:lineRule="auto"/>
        <w:contextualSpacing/>
        <w:jc w:val="both"/>
        <w:rPr>
          <w:rFonts w:ascii="Times New Roman" w:hAnsi="Times New Roman"/>
        </w:rPr>
      </w:pPr>
      <w:r w:rsidRPr="00951E8F">
        <w:rPr>
          <w:rFonts w:ascii="Times New Roman" w:hAnsi="Times New Roman"/>
        </w:rPr>
        <w:t>In </w:t>
      </w:r>
      <w:r w:rsidR="00183C15" w:rsidRPr="00951E8F">
        <w:rPr>
          <w:rFonts w:ascii="Times New Roman" w:hAnsi="Times New Roman"/>
          <w:b/>
          <w:i/>
        </w:rPr>
        <w:t xml:space="preserve">B.M. Steels v. </w:t>
      </w:r>
      <w:proofErr w:type="spellStart"/>
      <w:r w:rsidR="00183C15" w:rsidRPr="00951E8F">
        <w:rPr>
          <w:rFonts w:ascii="Times New Roman" w:hAnsi="Times New Roman"/>
          <w:b/>
          <w:i/>
        </w:rPr>
        <w:t>Kilembe</w:t>
      </w:r>
      <w:proofErr w:type="spellEnd"/>
      <w:r w:rsidR="00183C15" w:rsidRPr="00951E8F">
        <w:rPr>
          <w:rFonts w:ascii="Times New Roman" w:hAnsi="Times New Roman"/>
          <w:b/>
          <w:i/>
        </w:rPr>
        <w:t xml:space="preserve"> Mines</w:t>
      </w:r>
      <w:r w:rsidR="00183C15" w:rsidRPr="00951E8F">
        <w:rPr>
          <w:rFonts w:ascii="Times New Roman" w:hAnsi="Times New Roman"/>
        </w:rPr>
        <w:t>, CAD/ARB/10/2004, set out the normative behavior in relation communication on the appointment of arbitrators, as follows,</w:t>
      </w:r>
    </w:p>
    <w:p w14:paraId="14A0376B" w14:textId="77777777" w:rsidR="00183C15" w:rsidRPr="00951E8F" w:rsidRDefault="00183C15" w:rsidP="005B3A4D">
      <w:pPr>
        <w:spacing w:line="276" w:lineRule="auto"/>
        <w:contextualSpacing/>
        <w:jc w:val="both"/>
        <w:rPr>
          <w:rFonts w:ascii="Times New Roman" w:hAnsi="Times New Roman"/>
        </w:rPr>
      </w:pPr>
      <w:r w:rsidRPr="00951E8F">
        <w:rPr>
          <w:rFonts w:ascii="Times New Roman" w:hAnsi="Times New Roman"/>
        </w:rPr>
        <w:t> </w:t>
      </w:r>
    </w:p>
    <w:p w14:paraId="617AB1F3" w14:textId="77777777" w:rsidR="00183C15" w:rsidRPr="00951E8F" w:rsidRDefault="00183C15" w:rsidP="005B3A4D">
      <w:pPr>
        <w:spacing w:line="276" w:lineRule="auto"/>
        <w:ind w:left="2160"/>
        <w:contextualSpacing/>
        <w:jc w:val="both"/>
        <w:rPr>
          <w:rFonts w:ascii="Times New Roman" w:hAnsi="Times New Roman"/>
        </w:rPr>
      </w:pPr>
      <w:r w:rsidRPr="00951E8F">
        <w:rPr>
          <w:rFonts w:ascii="Times New Roman" w:hAnsi="Times New Roman"/>
        </w:rPr>
        <w:t>“It is prudent to point out at this stage three possible courses of action which could have been taken by the Respondent:</w:t>
      </w:r>
    </w:p>
    <w:p w14:paraId="3B09AC51" w14:textId="77777777" w:rsidR="00183C15" w:rsidRPr="00951E8F" w:rsidRDefault="00183C15" w:rsidP="005B3A4D">
      <w:pPr>
        <w:spacing w:line="276" w:lineRule="auto"/>
        <w:ind w:left="2160"/>
        <w:contextualSpacing/>
        <w:jc w:val="both"/>
        <w:rPr>
          <w:rFonts w:ascii="Times New Roman" w:hAnsi="Times New Roman"/>
        </w:rPr>
      </w:pPr>
      <w:r w:rsidRPr="00951E8F">
        <w:rPr>
          <w:rFonts w:ascii="Times New Roman" w:hAnsi="Times New Roman"/>
        </w:rPr>
        <w:t> </w:t>
      </w:r>
    </w:p>
    <w:p w14:paraId="7D246E9F" w14:textId="77777777" w:rsidR="00183C15" w:rsidRPr="00951E8F" w:rsidRDefault="00183C15" w:rsidP="005B3A4D">
      <w:pPr>
        <w:pStyle w:val="ColorfulList-Accent11"/>
        <w:numPr>
          <w:ilvl w:val="0"/>
          <w:numId w:val="5"/>
        </w:numPr>
        <w:spacing w:line="276" w:lineRule="auto"/>
        <w:ind w:left="3000"/>
        <w:jc w:val="both"/>
        <w:rPr>
          <w:rFonts w:ascii="Times New Roman" w:hAnsi="Times New Roman"/>
        </w:rPr>
      </w:pPr>
      <w:r w:rsidRPr="00951E8F">
        <w:rPr>
          <w:rFonts w:ascii="Times New Roman" w:hAnsi="Times New Roman"/>
        </w:rPr>
        <w:t>First the Respondent would have consented to the Arbitrator suggested by the Applicant with a view of having a one-person arbitral panel.</w:t>
      </w:r>
    </w:p>
    <w:p w14:paraId="79B4C9BC" w14:textId="77777777" w:rsidR="00183C15" w:rsidRPr="00951E8F" w:rsidRDefault="00183C15" w:rsidP="005B3A4D">
      <w:pPr>
        <w:pStyle w:val="ColorfulList-Accent11"/>
        <w:spacing w:line="276" w:lineRule="auto"/>
        <w:ind w:left="3000"/>
        <w:jc w:val="both"/>
        <w:rPr>
          <w:rFonts w:ascii="Times New Roman" w:hAnsi="Times New Roman"/>
        </w:rPr>
      </w:pPr>
    </w:p>
    <w:p w14:paraId="27AC3ACB" w14:textId="77777777" w:rsidR="00183C15" w:rsidRPr="00951E8F" w:rsidRDefault="00183C15" w:rsidP="005B3A4D">
      <w:pPr>
        <w:pStyle w:val="ColorfulList-Accent11"/>
        <w:numPr>
          <w:ilvl w:val="0"/>
          <w:numId w:val="5"/>
        </w:numPr>
        <w:spacing w:line="276" w:lineRule="auto"/>
        <w:ind w:left="3000"/>
        <w:jc w:val="both"/>
        <w:rPr>
          <w:rFonts w:ascii="Times New Roman" w:hAnsi="Times New Roman"/>
        </w:rPr>
      </w:pPr>
      <w:r w:rsidRPr="00951E8F">
        <w:rPr>
          <w:rFonts w:ascii="Times New Roman" w:hAnsi="Times New Roman"/>
        </w:rPr>
        <w:t>Secondly the Respondent would oppose the Applicant’s nomination by indicating another Nominee Arbitrator whilst inviting the Applicant to consent to the Respondent’s nomination with a view to having a one-person arbitral panel.</w:t>
      </w:r>
    </w:p>
    <w:p w14:paraId="15583D37" w14:textId="77777777" w:rsidR="00183C15" w:rsidRPr="00951E8F" w:rsidRDefault="00183C15" w:rsidP="005B3A4D">
      <w:pPr>
        <w:spacing w:line="276" w:lineRule="auto"/>
        <w:ind w:left="2160"/>
        <w:contextualSpacing/>
        <w:jc w:val="both"/>
        <w:rPr>
          <w:rFonts w:ascii="Times New Roman" w:hAnsi="Times New Roman"/>
        </w:rPr>
      </w:pPr>
    </w:p>
    <w:p w14:paraId="753114AF" w14:textId="77777777" w:rsidR="00183C15" w:rsidRPr="00951E8F" w:rsidRDefault="00183C15" w:rsidP="005B3A4D">
      <w:pPr>
        <w:pStyle w:val="ColorfulList-Accent11"/>
        <w:numPr>
          <w:ilvl w:val="0"/>
          <w:numId w:val="5"/>
        </w:numPr>
        <w:spacing w:line="276" w:lineRule="auto"/>
        <w:ind w:left="3000"/>
        <w:jc w:val="both"/>
        <w:rPr>
          <w:rFonts w:ascii="Times New Roman" w:hAnsi="Times New Roman"/>
        </w:rPr>
      </w:pPr>
      <w:r w:rsidRPr="00951E8F">
        <w:rPr>
          <w:rFonts w:ascii="Times New Roman" w:hAnsi="Times New Roman"/>
        </w:rPr>
        <w:t xml:space="preserve">Thirdly the Respondent would oppose or consent to the Applicant’s nomination.  Nevertheless the Respondent would then proceed to indicate another Nominee chosen by the Respondent and invite the Applicant to </w:t>
      </w:r>
      <w:r w:rsidRPr="00951E8F">
        <w:rPr>
          <w:rFonts w:ascii="Times New Roman" w:hAnsi="Times New Roman"/>
        </w:rPr>
        <w:lastRenderedPageBreak/>
        <w:t>consent to the second nomination person with a view of having a two person tribunal.”</w:t>
      </w:r>
    </w:p>
    <w:p w14:paraId="76F37621" w14:textId="77777777" w:rsidR="00183C15" w:rsidRPr="00951E8F" w:rsidRDefault="00183C15" w:rsidP="005B3A4D">
      <w:pPr>
        <w:spacing w:line="276" w:lineRule="auto"/>
        <w:contextualSpacing/>
        <w:jc w:val="both"/>
        <w:rPr>
          <w:rFonts w:ascii="Times New Roman" w:hAnsi="Times New Roman"/>
        </w:rPr>
      </w:pPr>
    </w:p>
    <w:p w14:paraId="7507DA3A" w14:textId="77777777" w:rsidR="004A12BA" w:rsidRPr="00951E8F" w:rsidRDefault="004A12BA" w:rsidP="005B3A4D">
      <w:pPr>
        <w:spacing w:line="276" w:lineRule="auto"/>
        <w:contextualSpacing/>
        <w:jc w:val="both"/>
        <w:rPr>
          <w:rFonts w:ascii="Times New Roman" w:hAnsi="Times New Roman"/>
        </w:rPr>
      </w:pPr>
      <w:r w:rsidRPr="00951E8F">
        <w:rPr>
          <w:rFonts w:ascii="Times New Roman" w:hAnsi="Times New Roman"/>
        </w:rPr>
        <w:t xml:space="preserve">It is not right to take advantage of Applicant’s </w:t>
      </w:r>
      <w:r w:rsidRPr="00951E8F">
        <w:rPr>
          <w:rFonts w:ascii="Times New Roman" w:hAnsi="Times New Roman"/>
          <w:b/>
        </w:rPr>
        <w:t>Annex C</w:t>
      </w:r>
      <w:r w:rsidRPr="00951E8F">
        <w:rPr>
          <w:rFonts w:ascii="Times New Roman" w:hAnsi="Times New Roman"/>
        </w:rPr>
        <w:t xml:space="preserve"> </w:t>
      </w:r>
      <w:r w:rsidRPr="00951E8F">
        <w:rPr>
          <w:rFonts w:ascii="Times New Roman" w:hAnsi="Times New Roman"/>
          <w:i/>
        </w:rPr>
        <w:t>mediation</w:t>
      </w:r>
      <w:r w:rsidRPr="00951E8F">
        <w:rPr>
          <w:rFonts w:ascii="Times New Roman" w:hAnsi="Times New Roman"/>
        </w:rPr>
        <w:t xml:space="preserve"> error, sin</w:t>
      </w:r>
      <w:r w:rsidR="00922111" w:rsidRPr="00951E8F">
        <w:rPr>
          <w:rFonts w:ascii="Times New Roman" w:hAnsi="Times New Roman"/>
        </w:rPr>
        <w:t xml:space="preserve">ce </w:t>
      </w:r>
      <w:r w:rsidR="006F6047" w:rsidRPr="00951E8F">
        <w:rPr>
          <w:rFonts w:ascii="Times New Roman" w:hAnsi="Times New Roman"/>
        </w:rPr>
        <w:t xml:space="preserve">respondent’s counsel </w:t>
      </w:r>
      <w:r w:rsidR="00922111" w:rsidRPr="00951E8F">
        <w:rPr>
          <w:rFonts w:ascii="Times New Roman" w:hAnsi="Times New Roman"/>
        </w:rPr>
        <w:t xml:space="preserve">would by short circuit be shirking the </w:t>
      </w:r>
      <w:r w:rsidR="006F6047" w:rsidRPr="00951E8F">
        <w:rPr>
          <w:rFonts w:ascii="Times New Roman" w:hAnsi="Times New Roman"/>
        </w:rPr>
        <w:t>responsibility to set up the tribunal</w:t>
      </w:r>
      <w:r w:rsidR="00922111" w:rsidRPr="00951E8F">
        <w:rPr>
          <w:rFonts w:ascii="Times New Roman" w:hAnsi="Times New Roman"/>
        </w:rPr>
        <w:t>, within the mutual obligation ruled upon in</w:t>
      </w:r>
      <w:r w:rsidR="0085069D" w:rsidRPr="00951E8F">
        <w:rPr>
          <w:rFonts w:ascii="Times New Roman" w:hAnsi="Times New Roman"/>
        </w:rPr>
        <w:t xml:space="preserve"> the </w:t>
      </w:r>
      <w:proofErr w:type="spellStart"/>
      <w:r w:rsidR="0085069D" w:rsidRPr="00951E8F">
        <w:rPr>
          <w:rFonts w:ascii="Times New Roman" w:hAnsi="Times New Roman"/>
          <w:b/>
          <w:i/>
        </w:rPr>
        <w:t>Heyman</w:t>
      </w:r>
      <w:proofErr w:type="spellEnd"/>
      <w:r w:rsidR="0085069D" w:rsidRPr="00951E8F">
        <w:rPr>
          <w:rFonts w:ascii="Times New Roman" w:hAnsi="Times New Roman"/>
        </w:rPr>
        <w:t xml:space="preserve"> and</w:t>
      </w:r>
      <w:r w:rsidR="00922111" w:rsidRPr="00951E8F">
        <w:rPr>
          <w:rFonts w:ascii="Times New Roman" w:hAnsi="Times New Roman"/>
        </w:rPr>
        <w:t xml:space="preserve"> </w:t>
      </w:r>
      <w:r w:rsidR="00922111" w:rsidRPr="00951E8F">
        <w:rPr>
          <w:rFonts w:ascii="Times New Roman" w:hAnsi="Times New Roman"/>
          <w:b/>
          <w:i/>
        </w:rPr>
        <w:t>BM Steels</w:t>
      </w:r>
      <w:r w:rsidR="0085069D" w:rsidRPr="00951E8F">
        <w:rPr>
          <w:rFonts w:ascii="Times New Roman" w:hAnsi="Times New Roman"/>
        </w:rPr>
        <w:t xml:space="preserve"> enclave</w:t>
      </w:r>
      <w:r w:rsidR="006F6047" w:rsidRPr="00951E8F">
        <w:rPr>
          <w:rFonts w:ascii="Times New Roman" w:hAnsi="Times New Roman"/>
        </w:rPr>
        <w:t>.</w:t>
      </w:r>
    </w:p>
    <w:p w14:paraId="494BE838" w14:textId="77777777" w:rsidR="006F6047" w:rsidRPr="00951E8F" w:rsidRDefault="006F6047" w:rsidP="005B3A4D">
      <w:pPr>
        <w:spacing w:line="276" w:lineRule="auto"/>
        <w:contextualSpacing/>
        <w:jc w:val="both"/>
        <w:rPr>
          <w:rFonts w:ascii="Times New Roman" w:hAnsi="Times New Roman"/>
        </w:rPr>
      </w:pPr>
    </w:p>
    <w:p w14:paraId="00187DA5" w14:textId="77777777" w:rsidR="00374294" w:rsidRPr="00951E8F" w:rsidRDefault="00912CF8" w:rsidP="005B3A4D">
      <w:pPr>
        <w:spacing w:line="276" w:lineRule="auto"/>
        <w:contextualSpacing/>
        <w:jc w:val="both"/>
        <w:rPr>
          <w:rFonts w:ascii="Times New Roman" w:hAnsi="Times New Roman"/>
        </w:rPr>
      </w:pPr>
      <w:r w:rsidRPr="00951E8F">
        <w:rPr>
          <w:rFonts w:ascii="Times New Roman" w:hAnsi="Times New Roman"/>
        </w:rPr>
        <w:t xml:space="preserve">Therefore it is not right to </w:t>
      </w:r>
      <w:r w:rsidR="00374294" w:rsidRPr="00951E8F">
        <w:rPr>
          <w:rFonts w:ascii="Times New Roman" w:hAnsi="Times New Roman"/>
        </w:rPr>
        <w:t>take it that counsel’s letter</w:t>
      </w:r>
      <w:r w:rsidR="004A12BA" w:rsidRPr="00951E8F">
        <w:rPr>
          <w:rFonts w:ascii="Times New Roman" w:hAnsi="Times New Roman"/>
        </w:rPr>
        <w:t xml:space="preserve">, which introduces the </w:t>
      </w:r>
      <w:r w:rsidR="004A12BA" w:rsidRPr="00951E8F">
        <w:rPr>
          <w:rFonts w:ascii="Times New Roman" w:hAnsi="Times New Roman"/>
          <w:i/>
        </w:rPr>
        <w:t xml:space="preserve">mediation </w:t>
      </w:r>
      <w:proofErr w:type="gramStart"/>
      <w:r w:rsidR="004A12BA" w:rsidRPr="00951E8F">
        <w:rPr>
          <w:rFonts w:ascii="Times New Roman" w:hAnsi="Times New Roman"/>
        </w:rPr>
        <w:t>concept</w:t>
      </w:r>
      <w:proofErr w:type="gramEnd"/>
      <w:r w:rsidR="00374294" w:rsidRPr="00951E8F">
        <w:rPr>
          <w:rFonts w:ascii="Times New Roman" w:hAnsi="Times New Roman"/>
        </w:rPr>
        <w:t xml:space="preserve"> can infect the contractual clause</w:t>
      </w:r>
      <w:r w:rsidR="00383353" w:rsidRPr="00951E8F">
        <w:rPr>
          <w:rFonts w:ascii="Times New Roman" w:hAnsi="Times New Roman"/>
        </w:rPr>
        <w:t>, which neither of the parties have suggested was amended or rectified to cure any shortfall</w:t>
      </w:r>
      <w:r w:rsidR="00374294" w:rsidRPr="00951E8F">
        <w:rPr>
          <w:rFonts w:ascii="Times New Roman" w:hAnsi="Times New Roman"/>
        </w:rPr>
        <w:t>.</w:t>
      </w:r>
    </w:p>
    <w:p w14:paraId="4698D97D" w14:textId="77777777" w:rsidR="00374294" w:rsidRPr="00951E8F" w:rsidRDefault="00374294" w:rsidP="005B3A4D">
      <w:pPr>
        <w:spacing w:line="276" w:lineRule="auto"/>
        <w:contextualSpacing/>
        <w:jc w:val="both"/>
        <w:rPr>
          <w:rFonts w:ascii="Times New Roman" w:hAnsi="Times New Roman"/>
        </w:rPr>
      </w:pPr>
    </w:p>
    <w:p w14:paraId="70DC733D" w14:textId="77777777" w:rsidR="00374294" w:rsidRPr="00951E8F" w:rsidRDefault="00374294" w:rsidP="005B3A4D">
      <w:pPr>
        <w:spacing w:line="276" w:lineRule="auto"/>
        <w:contextualSpacing/>
        <w:jc w:val="both"/>
        <w:rPr>
          <w:rFonts w:ascii="Times New Roman" w:hAnsi="Times New Roman"/>
        </w:rPr>
      </w:pPr>
      <w:r w:rsidRPr="00951E8F">
        <w:rPr>
          <w:rFonts w:ascii="Times New Roman" w:hAnsi="Times New Roman"/>
        </w:rPr>
        <w:t>In any event no High Court order emanating from S.5 ACA proceedings was tabled before me evidencing a court decision that the clause had been found inoperative.</w:t>
      </w:r>
    </w:p>
    <w:p w14:paraId="543DE90A" w14:textId="77777777" w:rsidR="00374294" w:rsidRPr="00951E8F" w:rsidRDefault="00374294" w:rsidP="005B3A4D">
      <w:pPr>
        <w:spacing w:line="276" w:lineRule="auto"/>
        <w:contextualSpacing/>
        <w:jc w:val="both"/>
        <w:rPr>
          <w:rFonts w:ascii="Times New Roman" w:hAnsi="Times New Roman"/>
        </w:rPr>
      </w:pPr>
    </w:p>
    <w:p w14:paraId="66220477" w14:textId="77777777" w:rsidR="00064645" w:rsidRPr="00951E8F" w:rsidRDefault="006F6047" w:rsidP="005B3A4D">
      <w:pPr>
        <w:spacing w:line="276" w:lineRule="auto"/>
        <w:contextualSpacing/>
        <w:jc w:val="both"/>
        <w:rPr>
          <w:rFonts w:ascii="Times New Roman" w:hAnsi="Times New Roman"/>
        </w:rPr>
      </w:pPr>
      <w:r w:rsidRPr="00951E8F">
        <w:rPr>
          <w:rFonts w:ascii="Times New Roman" w:hAnsi="Times New Roman"/>
        </w:rPr>
        <w:t>I find merit in the Application and appoint the arbitrator.</w:t>
      </w:r>
    </w:p>
    <w:p w14:paraId="42122F48" w14:textId="77777777" w:rsidR="006F6047" w:rsidRPr="00951E8F" w:rsidRDefault="006F6047" w:rsidP="005B3A4D">
      <w:pPr>
        <w:spacing w:line="276" w:lineRule="auto"/>
        <w:contextualSpacing/>
        <w:jc w:val="both"/>
        <w:rPr>
          <w:rFonts w:ascii="Times New Roman" w:hAnsi="Times New Roman"/>
        </w:rPr>
      </w:pPr>
    </w:p>
    <w:p w14:paraId="4EACC621" w14:textId="77777777" w:rsidR="006F6047" w:rsidRPr="00951E8F" w:rsidRDefault="006F6047" w:rsidP="005B3A4D">
      <w:pPr>
        <w:spacing w:line="276" w:lineRule="auto"/>
        <w:contextualSpacing/>
        <w:jc w:val="both"/>
        <w:rPr>
          <w:rFonts w:ascii="Times New Roman" w:hAnsi="Times New Roman"/>
        </w:rPr>
      </w:pPr>
      <w:r w:rsidRPr="00951E8F">
        <w:rPr>
          <w:rFonts w:ascii="Times New Roman" w:hAnsi="Times New Roman"/>
        </w:rPr>
        <w:t>Applicant is awarded costs of the Application.</w:t>
      </w:r>
    </w:p>
    <w:p w14:paraId="5539CC2F" w14:textId="77777777" w:rsidR="006F6047" w:rsidRPr="00951E8F" w:rsidRDefault="006F6047" w:rsidP="005B3A4D">
      <w:pPr>
        <w:spacing w:line="276" w:lineRule="auto"/>
        <w:contextualSpacing/>
        <w:jc w:val="both"/>
        <w:rPr>
          <w:rFonts w:ascii="Times New Roman" w:hAnsi="Times New Roman"/>
        </w:rPr>
      </w:pPr>
    </w:p>
    <w:p w14:paraId="255B0C01" w14:textId="77777777" w:rsidR="006F6047" w:rsidRPr="00951E8F" w:rsidRDefault="006F6047" w:rsidP="005B3A4D">
      <w:pPr>
        <w:spacing w:line="276" w:lineRule="auto"/>
        <w:contextualSpacing/>
        <w:jc w:val="center"/>
        <w:rPr>
          <w:rFonts w:ascii="Times New Roman" w:hAnsi="Times New Roman"/>
        </w:rPr>
      </w:pPr>
      <w:proofErr w:type="gramStart"/>
      <w:r w:rsidRPr="00951E8F">
        <w:rPr>
          <w:rFonts w:ascii="Times New Roman" w:hAnsi="Times New Roman"/>
        </w:rPr>
        <w:t xml:space="preserve">Dated at Kampala on </w:t>
      </w:r>
      <w:r w:rsidRPr="00951E8F">
        <w:rPr>
          <w:rFonts w:ascii="Times New Roman" w:hAnsi="Times New Roman"/>
          <w:b/>
        </w:rPr>
        <w:t>9th February 2018</w:t>
      </w:r>
      <w:r w:rsidRPr="00951E8F">
        <w:rPr>
          <w:rFonts w:ascii="Times New Roman" w:hAnsi="Times New Roman"/>
        </w:rPr>
        <w:t>.</w:t>
      </w:r>
      <w:proofErr w:type="gramEnd"/>
    </w:p>
    <w:p w14:paraId="30E84F8A" w14:textId="77777777" w:rsidR="00064645" w:rsidRPr="00951E8F" w:rsidRDefault="00064645" w:rsidP="005B3A4D">
      <w:pPr>
        <w:pStyle w:val="NormalWeb"/>
        <w:spacing w:line="276" w:lineRule="auto"/>
        <w:contextualSpacing/>
        <w:jc w:val="both"/>
        <w:rPr>
          <w:rFonts w:ascii="Times New Roman" w:hAnsi="Times New Roman"/>
          <w:color w:val="000000"/>
          <w:sz w:val="24"/>
          <w:szCs w:val="24"/>
        </w:rPr>
      </w:pPr>
    </w:p>
    <w:p w14:paraId="5B403E6B" w14:textId="77777777" w:rsidR="006F6047" w:rsidRPr="00951E8F" w:rsidRDefault="006F6047" w:rsidP="005B3A4D">
      <w:pPr>
        <w:pStyle w:val="NormalWeb"/>
        <w:spacing w:line="276" w:lineRule="auto"/>
        <w:contextualSpacing/>
        <w:jc w:val="center"/>
        <w:rPr>
          <w:rFonts w:ascii="Times New Roman" w:hAnsi="Times New Roman"/>
          <w:color w:val="000000"/>
          <w:sz w:val="24"/>
          <w:szCs w:val="24"/>
        </w:rPr>
      </w:pPr>
      <w:r w:rsidRPr="00951E8F">
        <w:rPr>
          <w:rFonts w:ascii="Times New Roman" w:hAnsi="Times New Roman"/>
          <w:color w:val="000000"/>
          <w:sz w:val="24"/>
          <w:szCs w:val="24"/>
        </w:rPr>
        <w:t>………………………………………….…</w:t>
      </w:r>
    </w:p>
    <w:p w14:paraId="4AA76E2E" w14:textId="77777777" w:rsidR="005B3A4D" w:rsidRPr="00951E8F" w:rsidRDefault="006F6047" w:rsidP="005B3A4D">
      <w:pPr>
        <w:pStyle w:val="NormalWeb"/>
        <w:spacing w:line="276" w:lineRule="auto"/>
        <w:contextualSpacing/>
        <w:jc w:val="center"/>
        <w:rPr>
          <w:rFonts w:ascii="Times New Roman" w:hAnsi="Times New Roman"/>
          <w:b/>
          <w:color w:val="000000"/>
          <w:sz w:val="24"/>
          <w:szCs w:val="24"/>
        </w:rPr>
      </w:pPr>
      <w:r w:rsidRPr="00951E8F">
        <w:rPr>
          <w:rFonts w:ascii="Times New Roman" w:hAnsi="Times New Roman"/>
          <w:b/>
          <w:color w:val="000000"/>
          <w:sz w:val="24"/>
          <w:szCs w:val="24"/>
        </w:rPr>
        <w:t>EXECUTIVE DIRECTOR</w:t>
      </w:r>
    </w:p>
    <w:p w14:paraId="143AB65A" w14:textId="77777777" w:rsidR="001A741D" w:rsidRPr="00951E8F" w:rsidRDefault="001A741D" w:rsidP="005B3A4D">
      <w:pPr>
        <w:spacing w:line="276" w:lineRule="auto"/>
        <w:contextualSpacing/>
        <w:jc w:val="both"/>
        <w:rPr>
          <w:rFonts w:ascii="Times New Roman" w:hAnsi="Times New Roman"/>
        </w:rPr>
      </w:pPr>
    </w:p>
    <w:sectPr w:rsidR="001A741D" w:rsidRPr="00951E8F" w:rsidSect="00EA2E86">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21C57" w14:textId="77777777" w:rsidR="00E97FF9" w:rsidRDefault="00E97FF9" w:rsidP="00E54B9B">
      <w:r>
        <w:separator/>
      </w:r>
    </w:p>
  </w:endnote>
  <w:endnote w:type="continuationSeparator" w:id="0">
    <w:p w14:paraId="0E0C4E99" w14:textId="77777777" w:rsidR="00E97FF9" w:rsidRDefault="00E97FF9" w:rsidP="00E5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1DA6" w14:textId="77777777" w:rsidR="002F6BE3" w:rsidRDefault="002F6BE3" w:rsidP="00FF6E41">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51E8F">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951E8F">
      <w:rPr>
        <w:rFonts w:ascii="Times New Roman" w:hAnsi="Times New Roman"/>
        <w:noProof/>
      </w:rPr>
      <w:t>15</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51D8" w14:textId="77777777" w:rsidR="00E97FF9" w:rsidRDefault="00E97FF9" w:rsidP="00E54B9B">
      <w:r>
        <w:separator/>
      </w:r>
    </w:p>
  </w:footnote>
  <w:footnote w:type="continuationSeparator" w:id="0">
    <w:p w14:paraId="0F54D052" w14:textId="77777777" w:rsidR="00E97FF9" w:rsidRDefault="00E97FF9" w:rsidP="00E54B9B">
      <w:r>
        <w:continuationSeparator/>
      </w:r>
    </w:p>
  </w:footnote>
  <w:footnote w:id="1">
    <w:p w14:paraId="4B6CAF69" w14:textId="77777777" w:rsidR="002F6BE3" w:rsidRDefault="002F6BE3">
      <w:pPr>
        <w:pStyle w:val="FootnoteText"/>
      </w:pPr>
      <w:r>
        <w:rPr>
          <w:rStyle w:val="FootnoteReference"/>
        </w:rPr>
        <w:footnoteRef/>
      </w:r>
      <w:r>
        <w:t xml:space="preserve"> </w:t>
      </w:r>
      <w:r w:rsidRPr="006E7857">
        <w:t>https://barandbench.com/wp-content/uploads/2016/12/Centrotrade-minerals-v.-Hindustan-copper.pdf</w:t>
      </w:r>
    </w:p>
  </w:footnote>
  <w:footnote w:id="2">
    <w:p w14:paraId="23923101" w14:textId="77777777" w:rsidR="002F6BE3" w:rsidRDefault="002F6BE3" w:rsidP="00D30836">
      <w:pPr>
        <w:widowControl w:val="0"/>
        <w:autoSpaceDE w:val="0"/>
        <w:autoSpaceDN w:val="0"/>
        <w:adjustRightInd w:val="0"/>
        <w:spacing w:after="240" w:line="340" w:lineRule="atLeast"/>
        <w:rPr>
          <w:rFonts w:ascii="Times" w:hAnsi="Times" w:cs="Times"/>
          <w:color w:val="000000"/>
        </w:rPr>
      </w:pPr>
      <w:r>
        <w:rPr>
          <w:rStyle w:val="FootnoteReference"/>
        </w:rPr>
        <w:footnoteRef/>
      </w:r>
      <w:r>
        <w:t xml:space="preserve"> </w:t>
      </w:r>
      <w:r>
        <w:rPr>
          <w:rFonts w:ascii="Times" w:hAnsi="Times" w:cs="Times"/>
          <w:color w:val="000000"/>
          <w:sz w:val="26"/>
          <w:szCs w:val="26"/>
        </w:rPr>
        <w:t>Eighteenth Session, Vienna, 3-21 June 1985, A/CN.9/264 (25</w:t>
      </w:r>
      <w:proofErr w:type="spellStart"/>
      <w:r>
        <w:rPr>
          <w:rFonts w:ascii="Times" w:hAnsi="Times" w:cs="Times"/>
          <w:color w:val="000000"/>
          <w:position w:val="10"/>
          <w:sz w:val="16"/>
          <w:szCs w:val="16"/>
        </w:rPr>
        <w:t>th</w:t>
      </w:r>
      <w:proofErr w:type="spellEnd"/>
      <w:r>
        <w:rPr>
          <w:rFonts w:ascii="Times" w:hAnsi="Times" w:cs="Times"/>
          <w:color w:val="000000"/>
          <w:position w:val="10"/>
          <w:sz w:val="16"/>
          <w:szCs w:val="16"/>
        </w:rPr>
        <w:t xml:space="preserve"> </w:t>
      </w:r>
      <w:r>
        <w:rPr>
          <w:rFonts w:ascii="Times" w:hAnsi="Times" w:cs="Times"/>
          <w:color w:val="000000"/>
          <w:sz w:val="26"/>
          <w:szCs w:val="26"/>
        </w:rPr>
        <w:t>March 1985) </w:t>
      </w:r>
    </w:p>
    <w:p w14:paraId="3A6EAF62" w14:textId="77777777" w:rsidR="002F6BE3" w:rsidRDefault="002F6BE3">
      <w:pPr>
        <w:pStyle w:val="FootnoteText"/>
      </w:pPr>
    </w:p>
  </w:footnote>
  <w:footnote w:id="3">
    <w:p w14:paraId="434B0909" w14:textId="77777777" w:rsidR="002F6BE3" w:rsidRDefault="002F6BE3" w:rsidP="00D30836">
      <w:pPr>
        <w:widowControl w:val="0"/>
        <w:autoSpaceDE w:val="0"/>
        <w:autoSpaceDN w:val="0"/>
        <w:adjustRightInd w:val="0"/>
        <w:spacing w:after="240" w:line="340" w:lineRule="atLeast"/>
        <w:rPr>
          <w:rFonts w:ascii="Times" w:hAnsi="Times" w:cs="Times"/>
          <w:color w:val="000000"/>
        </w:rPr>
      </w:pPr>
      <w:r>
        <w:rPr>
          <w:rStyle w:val="FootnoteReference"/>
        </w:rPr>
        <w:footnoteRef/>
      </w:r>
      <w:r>
        <w:t xml:space="preserve"> </w:t>
      </w:r>
      <w:r>
        <w:rPr>
          <w:rFonts w:ascii="Times" w:hAnsi="Times" w:cs="Times"/>
          <w:color w:val="000000"/>
          <w:sz w:val="26"/>
          <w:szCs w:val="26"/>
        </w:rPr>
        <w:t xml:space="preserve">Article 34. Application for setting aside as exclusive recourse against arbitral award </w:t>
      </w:r>
    </w:p>
    <w:p w14:paraId="30A66E38" w14:textId="77777777" w:rsidR="002F6BE3" w:rsidRDefault="002F6BE3" w:rsidP="00A053F1">
      <w:pPr>
        <w:widowControl w:val="0"/>
        <w:autoSpaceDE w:val="0"/>
        <w:autoSpaceDN w:val="0"/>
        <w:adjustRightInd w:val="0"/>
        <w:spacing w:after="240" w:line="340" w:lineRule="atLeast"/>
        <w:rPr>
          <w:rFonts w:ascii="Times" w:hAnsi="Times" w:cs="Times"/>
          <w:color w:val="000000"/>
          <w:sz w:val="26"/>
          <w:szCs w:val="26"/>
        </w:rPr>
      </w:pPr>
      <w:r>
        <w:rPr>
          <w:rFonts w:ascii="Times" w:hAnsi="Times" w:cs="Times"/>
          <w:color w:val="000000"/>
          <w:sz w:val="26"/>
          <w:szCs w:val="26"/>
        </w:rPr>
        <w:t>(i) Recourse to a court against an arbitral award made [in the territory of this State] [under this Law] may be made only by an application for setting aside in accordance with paragraphs (2) and (3) of this article.</w:t>
      </w:r>
    </w:p>
    <w:p w14:paraId="7BDF2CE9" w14:textId="77777777" w:rsidR="002F6BE3" w:rsidRPr="00D30836" w:rsidRDefault="002F6BE3" w:rsidP="00D3083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6"/>
          <w:szCs w:val="26"/>
        </w:rPr>
        <w:t xml:space="preserve"> </w:t>
      </w:r>
    </w:p>
  </w:footnote>
  <w:footnote w:id="4">
    <w:p w14:paraId="3BCAED4B" w14:textId="77777777" w:rsidR="002F6BE3" w:rsidRDefault="002F6BE3" w:rsidP="00A053F1">
      <w:pPr>
        <w:widowControl w:val="0"/>
        <w:autoSpaceDE w:val="0"/>
        <w:autoSpaceDN w:val="0"/>
        <w:adjustRightInd w:val="0"/>
        <w:spacing w:after="240" w:line="340" w:lineRule="atLeast"/>
        <w:rPr>
          <w:rFonts w:ascii="Times" w:hAnsi="Times" w:cs="Times"/>
          <w:color w:val="000000"/>
        </w:rPr>
      </w:pPr>
      <w:r>
        <w:rPr>
          <w:rStyle w:val="FootnoteReference"/>
        </w:rPr>
        <w:footnoteRef/>
      </w:r>
      <w:r>
        <w:t xml:space="preserve"> </w:t>
      </w:r>
      <w:r>
        <w:rPr>
          <w:rFonts w:ascii="Times" w:hAnsi="Times" w:cs="Times"/>
          <w:color w:val="000000"/>
          <w:sz w:val="26"/>
          <w:szCs w:val="26"/>
        </w:rPr>
        <w:t xml:space="preserve">A/CN.91264, 25 March 1985 </w:t>
      </w:r>
    </w:p>
    <w:p w14:paraId="72FE1974" w14:textId="77777777" w:rsidR="002F6BE3" w:rsidRDefault="002F6BE3" w:rsidP="00A053F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6"/>
          <w:szCs w:val="26"/>
        </w:rPr>
        <w:t xml:space="preserve">https://documents-dds-ny.un.org/doc/UNDOC/GEN/V85/267/01/PDF/V8526701.pdf? </w:t>
      </w:r>
      <w:proofErr w:type="spellStart"/>
      <w:r>
        <w:rPr>
          <w:rFonts w:ascii="Times" w:hAnsi="Times" w:cs="Times"/>
          <w:color w:val="000000"/>
          <w:sz w:val="26"/>
          <w:szCs w:val="26"/>
        </w:rPr>
        <w:t>OpenElement</w:t>
      </w:r>
      <w:proofErr w:type="spellEnd"/>
      <w:r>
        <w:rPr>
          <w:rFonts w:ascii="Times" w:hAnsi="Times" w:cs="Times"/>
          <w:color w:val="000000"/>
          <w:sz w:val="26"/>
          <w:szCs w:val="26"/>
        </w:rPr>
        <w:t xml:space="preserve"> </w:t>
      </w:r>
    </w:p>
    <w:p w14:paraId="192374B9" w14:textId="77777777" w:rsidR="002F6BE3" w:rsidRDefault="002F6BE3">
      <w:pPr>
        <w:pStyle w:val="FootnoteText"/>
      </w:pPr>
    </w:p>
  </w:footnote>
  <w:footnote w:id="5">
    <w:p w14:paraId="0041A12C" w14:textId="77777777" w:rsidR="002F6BE3" w:rsidRDefault="002F6BE3" w:rsidP="00710173">
      <w:pPr>
        <w:widowControl w:val="0"/>
        <w:autoSpaceDE w:val="0"/>
        <w:autoSpaceDN w:val="0"/>
        <w:adjustRightInd w:val="0"/>
        <w:spacing w:after="240" w:line="340" w:lineRule="atLeast"/>
        <w:rPr>
          <w:rFonts w:ascii="Times" w:hAnsi="Times" w:cs="Times"/>
          <w:color w:val="000000"/>
        </w:rPr>
      </w:pPr>
      <w:r>
        <w:rPr>
          <w:rStyle w:val="FootnoteReference"/>
        </w:rPr>
        <w:footnoteRef/>
      </w:r>
      <w:r>
        <w:t xml:space="preserve"> </w:t>
      </w:r>
      <w:r>
        <w:rPr>
          <w:rFonts w:ascii="Times" w:hAnsi="Times" w:cs="Times"/>
          <w:color w:val="000000"/>
          <w:sz w:val="26"/>
          <w:szCs w:val="26"/>
        </w:rPr>
        <w:t>http://www.uncitral.org/pdf/english/texts/arbitration/ml-arb/MLARB-explanatoryNote20-9-07 .pdf </w:t>
      </w:r>
    </w:p>
    <w:p w14:paraId="70D0BECB" w14:textId="77777777" w:rsidR="002F6BE3" w:rsidRDefault="002F6BE3">
      <w:pPr>
        <w:pStyle w:val="FootnoteText"/>
      </w:pPr>
    </w:p>
  </w:footnote>
  <w:footnote w:id="6">
    <w:p w14:paraId="1334593A" w14:textId="77777777" w:rsidR="002F6BE3" w:rsidRPr="00F70139" w:rsidRDefault="002F6BE3" w:rsidP="00F70139">
      <w:pPr>
        <w:widowControl w:val="0"/>
        <w:autoSpaceDE w:val="0"/>
        <w:autoSpaceDN w:val="0"/>
        <w:adjustRightInd w:val="0"/>
        <w:spacing w:after="240" w:line="340" w:lineRule="atLeast"/>
        <w:rPr>
          <w:rFonts w:ascii="Times" w:hAnsi="Times" w:cs="Times"/>
          <w:color w:val="000000"/>
        </w:rPr>
      </w:pPr>
      <w:r>
        <w:rPr>
          <w:rStyle w:val="FootnoteReference"/>
        </w:rPr>
        <w:footnoteRef/>
      </w:r>
      <w:r>
        <w:t xml:space="preserve"> </w:t>
      </w:r>
      <w:r>
        <w:rPr>
          <w:rFonts w:ascii="Times" w:hAnsi="Times" w:cs="Times"/>
          <w:color w:val="000000"/>
          <w:sz w:val="26"/>
          <w:szCs w:val="26"/>
        </w:rPr>
        <w:t xml:space="preserve">(2016) 4 SCC126, Hon'ble Judges/Coram: Anil R. Dave, </w:t>
      </w:r>
      <w:proofErr w:type="spellStart"/>
      <w:r>
        <w:rPr>
          <w:rFonts w:ascii="Times" w:hAnsi="Times" w:cs="Times"/>
          <w:color w:val="000000"/>
          <w:sz w:val="26"/>
          <w:szCs w:val="26"/>
        </w:rPr>
        <w:t>Kurian</w:t>
      </w:r>
      <w:proofErr w:type="spellEnd"/>
      <w:r>
        <w:rPr>
          <w:rFonts w:ascii="Times" w:hAnsi="Times" w:cs="Times"/>
          <w:color w:val="000000"/>
          <w:sz w:val="26"/>
          <w:szCs w:val="26"/>
        </w:rPr>
        <w:t xml:space="preserve"> Joseph and </w:t>
      </w:r>
      <w:proofErr w:type="spellStart"/>
      <w:r>
        <w:rPr>
          <w:rFonts w:ascii="Times" w:hAnsi="Times" w:cs="Times"/>
          <w:color w:val="000000"/>
          <w:sz w:val="26"/>
          <w:szCs w:val="26"/>
        </w:rPr>
        <w:t>Amitava</w:t>
      </w:r>
      <w:proofErr w:type="spellEnd"/>
      <w:r>
        <w:rPr>
          <w:rFonts w:ascii="Times" w:hAnsi="Times" w:cs="Times"/>
          <w:color w:val="000000"/>
          <w:sz w:val="26"/>
          <w:szCs w:val="26"/>
        </w:rPr>
        <w:t xml:space="preserve"> Roy, JJ. </w:t>
      </w:r>
    </w:p>
  </w:footnote>
  <w:footnote w:id="7">
    <w:p w14:paraId="5A4FC216" w14:textId="77777777" w:rsidR="002F6BE3" w:rsidRDefault="002F6BE3">
      <w:pPr>
        <w:pStyle w:val="FootnoteText"/>
      </w:pPr>
      <w:r>
        <w:rPr>
          <w:rStyle w:val="FootnoteReference"/>
        </w:rPr>
        <w:footnoteRef/>
      </w:r>
      <w:r>
        <w:t xml:space="preserve"> </w:t>
      </w:r>
      <w:r w:rsidRPr="00203730">
        <w:rPr>
          <w:rFonts w:ascii="American Typewriter" w:hAnsi="American Typewriter"/>
          <w:color w:val="000000"/>
          <w:sz w:val="28"/>
          <w:szCs w:val="28"/>
        </w:rPr>
        <w:t>(1998) 1 SCC 305</w:t>
      </w:r>
    </w:p>
  </w:footnote>
  <w:footnote w:id="8">
    <w:p w14:paraId="40D5B2CA" w14:textId="77777777" w:rsidR="002F6BE3" w:rsidRDefault="002F6BE3">
      <w:pPr>
        <w:pStyle w:val="FootnoteText"/>
      </w:pPr>
      <w:r>
        <w:rPr>
          <w:rStyle w:val="FootnoteReference"/>
        </w:rPr>
        <w:footnoteRef/>
      </w:r>
      <w:r>
        <w:t xml:space="preserve"> </w:t>
      </w:r>
      <w:r w:rsidRPr="00203730">
        <w:rPr>
          <w:rFonts w:ascii="American Typewriter" w:hAnsi="American Typewriter"/>
          <w:color w:val="000000"/>
          <w:sz w:val="28"/>
          <w:szCs w:val="28"/>
        </w:rPr>
        <w:t>2014(3) R.C.R.(Civil) 458 : (2014) 7 SCC 603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4E3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36F16"/>
    <w:multiLevelType w:val="multilevel"/>
    <w:tmpl w:val="C4B6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16DA2"/>
    <w:multiLevelType w:val="multilevel"/>
    <w:tmpl w:val="69E8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A3CD4"/>
    <w:multiLevelType w:val="multilevel"/>
    <w:tmpl w:val="B21C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822E9"/>
    <w:multiLevelType w:val="hybridMultilevel"/>
    <w:tmpl w:val="C1767F48"/>
    <w:lvl w:ilvl="0" w:tplc="6FEE5AF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45A22"/>
    <w:multiLevelType w:val="hybridMultilevel"/>
    <w:tmpl w:val="DEEEFA00"/>
    <w:lvl w:ilvl="0" w:tplc="5B38030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2346C"/>
    <w:multiLevelType w:val="multilevel"/>
    <w:tmpl w:val="B8B8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1D"/>
    <w:rsid w:val="00064645"/>
    <w:rsid w:val="00092A4A"/>
    <w:rsid w:val="000C76C9"/>
    <w:rsid w:val="0010097D"/>
    <w:rsid w:val="00183C15"/>
    <w:rsid w:val="001A741D"/>
    <w:rsid w:val="001B2C0E"/>
    <w:rsid w:val="001C283A"/>
    <w:rsid w:val="001E4395"/>
    <w:rsid w:val="00203730"/>
    <w:rsid w:val="002317F9"/>
    <w:rsid w:val="0024267F"/>
    <w:rsid w:val="002655C0"/>
    <w:rsid w:val="00292FE7"/>
    <w:rsid w:val="002C4D83"/>
    <w:rsid w:val="002D6809"/>
    <w:rsid w:val="002E1E74"/>
    <w:rsid w:val="002F6BE3"/>
    <w:rsid w:val="00321FA2"/>
    <w:rsid w:val="003520BB"/>
    <w:rsid w:val="00374294"/>
    <w:rsid w:val="00383353"/>
    <w:rsid w:val="003C410E"/>
    <w:rsid w:val="00433B9C"/>
    <w:rsid w:val="004823C9"/>
    <w:rsid w:val="004A12BA"/>
    <w:rsid w:val="004A171E"/>
    <w:rsid w:val="004B3F88"/>
    <w:rsid w:val="004D4850"/>
    <w:rsid w:val="004D5FA9"/>
    <w:rsid w:val="005107C3"/>
    <w:rsid w:val="00526F32"/>
    <w:rsid w:val="00590CEE"/>
    <w:rsid w:val="005B3A4D"/>
    <w:rsid w:val="005F43C5"/>
    <w:rsid w:val="00632D8F"/>
    <w:rsid w:val="006370CE"/>
    <w:rsid w:val="00665408"/>
    <w:rsid w:val="006D58DB"/>
    <w:rsid w:val="006E7857"/>
    <w:rsid w:val="006F2C8A"/>
    <w:rsid w:val="006F4BBD"/>
    <w:rsid w:val="006F6047"/>
    <w:rsid w:val="00710173"/>
    <w:rsid w:val="0071253F"/>
    <w:rsid w:val="007279E4"/>
    <w:rsid w:val="0073590D"/>
    <w:rsid w:val="00747C06"/>
    <w:rsid w:val="00792B33"/>
    <w:rsid w:val="007B60A5"/>
    <w:rsid w:val="007C1781"/>
    <w:rsid w:val="007E4611"/>
    <w:rsid w:val="00833081"/>
    <w:rsid w:val="0085069D"/>
    <w:rsid w:val="00912CF8"/>
    <w:rsid w:val="00922111"/>
    <w:rsid w:val="00923257"/>
    <w:rsid w:val="00951E8F"/>
    <w:rsid w:val="009A4857"/>
    <w:rsid w:val="00A053F1"/>
    <w:rsid w:val="00A3773B"/>
    <w:rsid w:val="00B132A7"/>
    <w:rsid w:val="00B22633"/>
    <w:rsid w:val="00B3345F"/>
    <w:rsid w:val="00B36BA3"/>
    <w:rsid w:val="00B654B8"/>
    <w:rsid w:val="00B91000"/>
    <w:rsid w:val="00B92599"/>
    <w:rsid w:val="00C24895"/>
    <w:rsid w:val="00C41346"/>
    <w:rsid w:val="00D07C49"/>
    <w:rsid w:val="00D30836"/>
    <w:rsid w:val="00D8330B"/>
    <w:rsid w:val="00DF08AA"/>
    <w:rsid w:val="00E54B9B"/>
    <w:rsid w:val="00E72667"/>
    <w:rsid w:val="00E97FF9"/>
    <w:rsid w:val="00EA2E86"/>
    <w:rsid w:val="00EC2E9A"/>
    <w:rsid w:val="00EC31E4"/>
    <w:rsid w:val="00F44BCF"/>
    <w:rsid w:val="00F4698F"/>
    <w:rsid w:val="00F52BDC"/>
    <w:rsid w:val="00F70139"/>
    <w:rsid w:val="00F93CEF"/>
    <w:rsid w:val="00FB1E88"/>
    <w:rsid w:val="00FC2B17"/>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20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4B9B"/>
  </w:style>
  <w:style w:type="character" w:customStyle="1" w:styleId="FootnoteTextChar">
    <w:name w:val="Footnote Text Char"/>
    <w:basedOn w:val="DefaultParagraphFont"/>
    <w:link w:val="FootnoteText"/>
    <w:uiPriority w:val="99"/>
    <w:rsid w:val="00E54B9B"/>
  </w:style>
  <w:style w:type="character" w:styleId="FootnoteReference">
    <w:name w:val="footnote reference"/>
    <w:uiPriority w:val="99"/>
    <w:unhideWhenUsed/>
    <w:rsid w:val="00E54B9B"/>
    <w:rPr>
      <w:vertAlign w:val="superscript"/>
    </w:rPr>
  </w:style>
  <w:style w:type="paragraph" w:styleId="NormalWeb">
    <w:name w:val="Normal (Web)"/>
    <w:basedOn w:val="Normal"/>
    <w:uiPriority w:val="99"/>
    <w:semiHidden/>
    <w:unhideWhenUsed/>
    <w:rsid w:val="00064645"/>
    <w:pPr>
      <w:spacing w:before="100" w:beforeAutospacing="1" w:after="100" w:afterAutospacing="1"/>
    </w:pPr>
    <w:rPr>
      <w:rFonts w:ascii="Times" w:hAnsi="Times"/>
      <w:sz w:val="20"/>
      <w:szCs w:val="20"/>
    </w:rPr>
  </w:style>
  <w:style w:type="character" w:styleId="Emphasis">
    <w:name w:val="Emphasis"/>
    <w:uiPriority w:val="20"/>
    <w:qFormat/>
    <w:rsid w:val="00665408"/>
    <w:rPr>
      <w:i/>
      <w:iCs/>
    </w:rPr>
  </w:style>
  <w:style w:type="paragraph" w:customStyle="1" w:styleId="ColorfulList-Accent11">
    <w:name w:val="Colorful List - Accent 11"/>
    <w:basedOn w:val="Normal"/>
    <w:uiPriority w:val="34"/>
    <w:qFormat/>
    <w:rsid w:val="00183C15"/>
    <w:pPr>
      <w:ind w:left="720"/>
      <w:contextualSpacing/>
    </w:pPr>
  </w:style>
  <w:style w:type="paragraph" w:styleId="Header">
    <w:name w:val="header"/>
    <w:basedOn w:val="Normal"/>
    <w:link w:val="HeaderChar"/>
    <w:uiPriority w:val="99"/>
    <w:unhideWhenUsed/>
    <w:rsid w:val="00FF6E41"/>
    <w:pPr>
      <w:tabs>
        <w:tab w:val="center" w:pos="4320"/>
        <w:tab w:val="right" w:pos="8640"/>
      </w:tabs>
    </w:pPr>
  </w:style>
  <w:style w:type="character" w:customStyle="1" w:styleId="HeaderChar">
    <w:name w:val="Header Char"/>
    <w:link w:val="Header"/>
    <w:uiPriority w:val="99"/>
    <w:rsid w:val="00FF6E41"/>
    <w:rPr>
      <w:sz w:val="24"/>
      <w:szCs w:val="24"/>
    </w:rPr>
  </w:style>
  <w:style w:type="paragraph" w:styleId="Footer">
    <w:name w:val="footer"/>
    <w:basedOn w:val="Normal"/>
    <w:link w:val="FooterChar"/>
    <w:uiPriority w:val="99"/>
    <w:unhideWhenUsed/>
    <w:rsid w:val="00FF6E41"/>
    <w:pPr>
      <w:tabs>
        <w:tab w:val="center" w:pos="4320"/>
        <w:tab w:val="right" w:pos="8640"/>
      </w:tabs>
    </w:pPr>
  </w:style>
  <w:style w:type="character" w:customStyle="1" w:styleId="FooterChar">
    <w:name w:val="Footer Char"/>
    <w:link w:val="Footer"/>
    <w:uiPriority w:val="99"/>
    <w:rsid w:val="00FF6E41"/>
    <w:rPr>
      <w:sz w:val="24"/>
      <w:szCs w:val="24"/>
    </w:rPr>
  </w:style>
  <w:style w:type="paragraph" w:styleId="BalloonText">
    <w:name w:val="Balloon Text"/>
    <w:basedOn w:val="Normal"/>
    <w:link w:val="BalloonTextChar"/>
    <w:uiPriority w:val="99"/>
    <w:semiHidden/>
    <w:unhideWhenUsed/>
    <w:rsid w:val="006F4BBD"/>
    <w:rPr>
      <w:rFonts w:ascii="Segoe UI" w:hAnsi="Segoe UI" w:cs="Segoe UI"/>
      <w:sz w:val="18"/>
      <w:szCs w:val="18"/>
    </w:rPr>
  </w:style>
  <w:style w:type="character" w:customStyle="1" w:styleId="BalloonTextChar">
    <w:name w:val="Balloon Text Char"/>
    <w:link w:val="BalloonText"/>
    <w:uiPriority w:val="99"/>
    <w:semiHidden/>
    <w:rsid w:val="006F4B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4B9B"/>
  </w:style>
  <w:style w:type="character" w:customStyle="1" w:styleId="FootnoteTextChar">
    <w:name w:val="Footnote Text Char"/>
    <w:basedOn w:val="DefaultParagraphFont"/>
    <w:link w:val="FootnoteText"/>
    <w:uiPriority w:val="99"/>
    <w:rsid w:val="00E54B9B"/>
  </w:style>
  <w:style w:type="character" w:styleId="FootnoteReference">
    <w:name w:val="footnote reference"/>
    <w:uiPriority w:val="99"/>
    <w:unhideWhenUsed/>
    <w:rsid w:val="00E54B9B"/>
    <w:rPr>
      <w:vertAlign w:val="superscript"/>
    </w:rPr>
  </w:style>
  <w:style w:type="paragraph" w:styleId="NormalWeb">
    <w:name w:val="Normal (Web)"/>
    <w:basedOn w:val="Normal"/>
    <w:uiPriority w:val="99"/>
    <w:semiHidden/>
    <w:unhideWhenUsed/>
    <w:rsid w:val="00064645"/>
    <w:pPr>
      <w:spacing w:before="100" w:beforeAutospacing="1" w:after="100" w:afterAutospacing="1"/>
    </w:pPr>
    <w:rPr>
      <w:rFonts w:ascii="Times" w:hAnsi="Times"/>
      <w:sz w:val="20"/>
      <w:szCs w:val="20"/>
    </w:rPr>
  </w:style>
  <w:style w:type="character" w:styleId="Emphasis">
    <w:name w:val="Emphasis"/>
    <w:uiPriority w:val="20"/>
    <w:qFormat/>
    <w:rsid w:val="00665408"/>
    <w:rPr>
      <w:i/>
      <w:iCs/>
    </w:rPr>
  </w:style>
  <w:style w:type="paragraph" w:customStyle="1" w:styleId="ColorfulList-Accent11">
    <w:name w:val="Colorful List - Accent 11"/>
    <w:basedOn w:val="Normal"/>
    <w:uiPriority w:val="34"/>
    <w:qFormat/>
    <w:rsid w:val="00183C15"/>
    <w:pPr>
      <w:ind w:left="720"/>
      <w:contextualSpacing/>
    </w:pPr>
  </w:style>
  <w:style w:type="paragraph" w:styleId="Header">
    <w:name w:val="header"/>
    <w:basedOn w:val="Normal"/>
    <w:link w:val="HeaderChar"/>
    <w:uiPriority w:val="99"/>
    <w:unhideWhenUsed/>
    <w:rsid w:val="00FF6E41"/>
    <w:pPr>
      <w:tabs>
        <w:tab w:val="center" w:pos="4320"/>
        <w:tab w:val="right" w:pos="8640"/>
      </w:tabs>
    </w:pPr>
  </w:style>
  <w:style w:type="character" w:customStyle="1" w:styleId="HeaderChar">
    <w:name w:val="Header Char"/>
    <w:link w:val="Header"/>
    <w:uiPriority w:val="99"/>
    <w:rsid w:val="00FF6E41"/>
    <w:rPr>
      <w:sz w:val="24"/>
      <w:szCs w:val="24"/>
    </w:rPr>
  </w:style>
  <w:style w:type="paragraph" w:styleId="Footer">
    <w:name w:val="footer"/>
    <w:basedOn w:val="Normal"/>
    <w:link w:val="FooterChar"/>
    <w:uiPriority w:val="99"/>
    <w:unhideWhenUsed/>
    <w:rsid w:val="00FF6E41"/>
    <w:pPr>
      <w:tabs>
        <w:tab w:val="center" w:pos="4320"/>
        <w:tab w:val="right" w:pos="8640"/>
      </w:tabs>
    </w:pPr>
  </w:style>
  <w:style w:type="character" w:customStyle="1" w:styleId="FooterChar">
    <w:name w:val="Footer Char"/>
    <w:link w:val="Footer"/>
    <w:uiPriority w:val="99"/>
    <w:rsid w:val="00FF6E41"/>
    <w:rPr>
      <w:sz w:val="24"/>
      <w:szCs w:val="24"/>
    </w:rPr>
  </w:style>
  <w:style w:type="paragraph" w:styleId="BalloonText">
    <w:name w:val="Balloon Text"/>
    <w:basedOn w:val="Normal"/>
    <w:link w:val="BalloonTextChar"/>
    <w:uiPriority w:val="99"/>
    <w:semiHidden/>
    <w:unhideWhenUsed/>
    <w:rsid w:val="006F4BBD"/>
    <w:rPr>
      <w:rFonts w:ascii="Segoe UI" w:hAnsi="Segoe UI" w:cs="Segoe UI"/>
      <w:sz w:val="18"/>
      <w:szCs w:val="18"/>
    </w:rPr>
  </w:style>
  <w:style w:type="character" w:customStyle="1" w:styleId="BalloonTextChar">
    <w:name w:val="Balloon Text Char"/>
    <w:link w:val="BalloonText"/>
    <w:uiPriority w:val="99"/>
    <w:semiHidden/>
    <w:rsid w:val="006F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151">
      <w:bodyDiv w:val="1"/>
      <w:marLeft w:val="0"/>
      <w:marRight w:val="0"/>
      <w:marTop w:val="0"/>
      <w:marBottom w:val="0"/>
      <w:divBdr>
        <w:top w:val="none" w:sz="0" w:space="0" w:color="auto"/>
        <w:left w:val="none" w:sz="0" w:space="0" w:color="auto"/>
        <w:bottom w:val="none" w:sz="0" w:space="0" w:color="auto"/>
        <w:right w:val="none" w:sz="0" w:space="0" w:color="auto"/>
      </w:divBdr>
    </w:div>
    <w:div w:id="517818878">
      <w:bodyDiv w:val="1"/>
      <w:marLeft w:val="0"/>
      <w:marRight w:val="0"/>
      <w:marTop w:val="0"/>
      <w:marBottom w:val="0"/>
      <w:divBdr>
        <w:top w:val="none" w:sz="0" w:space="0" w:color="auto"/>
        <w:left w:val="none" w:sz="0" w:space="0" w:color="auto"/>
        <w:bottom w:val="none" w:sz="0" w:space="0" w:color="auto"/>
        <w:right w:val="none" w:sz="0" w:space="0" w:color="auto"/>
      </w:divBdr>
    </w:div>
    <w:div w:id="594442369">
      <w:bodyDiv w:val="1"/>
      <w:marLeft w:val="0"/>
      <w:marRight w:val="0"/>
      <w:marTop w:val="0"/>
      <w:marBottom w:val="0"/>
      <w:divBdr>
        <w:top w:val="none" w:sz="0" w:space="0" w:color="auto"/>
        <w:left w:val="none" w:sz="0" w:space="0" w:color="auto"/>
        <w:bottom w:val="none" w:sz="0" w:space="0" w:color="auto"/>
        <w:right w:val="none" w:sz="0" w:space="0" w:color="auto"/>
      </w:divBdr>
    </w:div>
    <w:div w:id="761147947">
      <w:bodyDiv w:val="1"/>
      <w:marLeft w:val="0"/>
      <w:marRight w:val="0"/>
      <w:marTop w:val="0"/>
      <w:marBottom w:val="0"/>
      <w:divBdr>
        <w:top w:val="none" w:sz="0" w:space="0" w:color="auto"/>
        <w:left w:val="none" w:sz="0" w:space="0" w:color="auto"/>
        <w:bottom w:val="none" w:sz="0" w:space="0" w:color="auto"/>
        <w:right w:val="none" w:sz="0" w:space="0" w:color="auto"/>
      </w:divBdr>
    </w:div>
    <w:div w:id="926501067">
      <w:bodyDiv w:val="1"/>
      <w:marLeft w:val="0"/>
      <w:marRight w:val="0"/>
      <w:marTop w:val="0"/>
      <w:marBottom w:val="0"/>
      <w:divBdr>
        <w:top w:val="none" w:sz="0" w:space="0" w:color="auto"/>
        <w:left w:val="none" w:sz="0" w:space="0" w:color="auto"/>
        <w:bottom w:val="none" w:sz="0" w:space="0" w:color="auto"/>
        <w:right w:val="none" w:sz="0" w:space="0" w:color="auto"/>
      </w:divBdr>
    </w:div>
    <w:div w:id="1034697974">
      <w:bodyDiv w:val="1"/>
      <w:marLeft w:val="0"/>
      <w:marRight w:val="0"/>
      <w:marTop w:val="0"/>
      <w:marBottom w:val="0"/>
      <w:divBdr>
        <w:top w:val="none" w:sz="0" w:space="0" w:color="auto"/>
        <w:left w:val="none" w:sz="0" w:space="0" w:color="auto"/>
        <w:bottom w:val="none" w:sz="0" w:space="0" w:color="auto"/>
        <w:right w:val="none" w:sz="0" w:space="0" w:color="auto"/>
      </w:divBdr>
    </w:div>
    <w:div w:id="1083113910">
      <w:bodyDiv w:val="1"/>
      <w:marLeft w:val="0"/>
      <w:marRight w:val="0"/>
      <w:marTop w:val="0"/>
      <w:marBottom w:val="0"/>
      <w:divBdr>
        <w:top w:val="none" w:sz="0" w:space="0" w:color="auto"/>
        <w:left w:val="none" w:sz="0" w:space="0" w:color="auto"/>
        <w:bottom w:val="none" w:sz="0" w:space="0" w:color="auto"/>
        <w:right w:val="none" w:sz="0" w:space="0" w:color="auto"/>
      </w:divBdr>
    </w:div>
    <w:div w:id="1411350190">
      <w:bodyDiv w:val="1"/>
      <w:marLeft w:val="0"/>
      <w:marRight w:val="0"/>
      <w:marTop w:val="0"/>
      <w:marBottom w:val="0"/>
      <w:divBdr>
        <w:top w:val="none" w:sz="0" w:space="0" w:color="auto"/>
        <w:left w:val="none" w:sz="0" w:space="0" w:color="auto"/>
        <w:bottom w:val="none" w:sz="0" w:space="0" w:color="auto"/>
        <w:right w:val="none" w:sz="0" w:space="0" w:color="auto"/>
      </w:divBdr>
    </w:div>
    <w:div w:id="1422675788">
      <w:bodyDiv w:val="1"/>
      <w:marLeft w:val="0"/>
      <w:marRight w:val="0"/>
      <w:marTop w:val="0"/>
      <w:marBottom w:val="0"/>
      <w:divBdr>
        <w:top w:val="none" w:sz="0" w:space="0" w:color="auto"/>
        <w:left w:val="none" w:sz="0" w:space="0" w:color="auto"/>
        <w:bottom w:val="none" w:sz="0" w:space="0" w:color="auto"/>
        <w:right w:val="none" w:sz="0" w:space="0" w:color="auto"/>
      </w:divBdr>
    </w:div>
    <w:div w:id="1556236311">
      <w:bodyDiv w:val="1"/>
      <w:marLeft w:val="0"/>
      <w:marRight w:val="0"/>
      <w:marTop w:val="0"/>
      <w:marBottom w:val="0"/>
      <w:divBdr>
        <w:top w:val="none" w:sz="0" w:space="0" w:color="auto"/>
        <w:left w:val="none" w:sz="0" w:space="0" w:color="auto"/>
        <w:bottom w:val="none" w:sz="0" w:space="0" w:color="auto"/>
        <w:right w:val="none" w:sz="0" w:space="0" w:color="auto"/>
      </w:divBdr>
    </w:div>
    <w:div w:id="1698044925">
      <w:bodyDiv w:val="1"/>
      <w:marLeft w:val="0"/>
      <w:marRight w:val="0"/>
      <w:marTop w:val="0"/>
      <w:marBottom w:val="0"/>
      <w:divBdr>
        <w:top w:val="none" w:sz="0" w:space="0" w:color="auto"/>
        <w:left w:val="none" w:sz="0" w:space="0" w:color="auto"/>
        <w:bottom w:val="none" w:sz="0" w:space="0" w:color="auto"/>
        <w:right w:val="none" w:sz="0" w:space="0" w:color="auto"/>
      </w:divBdr>
    </w:div>
    <w:div w:id="1806779802">
      <w:bodyDiv w:val="1"/>
      <w:marLeft w:val="0"/>
      <w:marRight w:val="0"/>
      <w:marTop w:val="0"/>
      <w:marBottom w:val="0"/>
      <w:divBdr>
        <w:top w:val="none" w:sz="0" w:space="0" w:color="auto"/>
        <w:left w:val="none" w:sz="0" w:space="0" w:color="auto"/>
        <w:bottom w:val="none" w:sz="0" w:space="0" w:color="auto"/>
        <w:right w:val="none" w:sz="0" w:space="0" w:color="auto"/>
      </w:divBdr>
    </w:div>
    <w:div w:id="2016423277">
      <w:bodyDiv w:val="1"/>
      <w:marLeft w:val="0"/>
      <w:marRight w:val="0"/>
      <w:marTop w:val="0"/>
      <w:marBottom w:val="0"/>
      <w:divBdr>
        <w:top w:val="none" w:sz="0" w:space="0" w:color="auto"/>
        <w:left w:val="none" w:sz="0" w:space="0" w:color="auto"/>
        <w:bottom w:val="none" w:sz="0" w:space="0" w:color="auto"/>
        <w:right w:val="none" w:sz="0" w:space="0" w:color="auto"/>
      </w:divBdr>
    </w:div>
    <w:div w:id="2062246316">
      <w:bodyDiv w:val="1"/>
      <w:marLeft w:val="0"/>
      <w:marRight w:val="0"/>
      <w:marTop w:val="0"/>
      <w:marBottom w:val="0"/>
      <w:divBdr>
        <w:top w:val="none" w:sz="0" w:space="0" w:color="auto"/>
        <w:left w:val="none" w:sz="0" w:space="0" w:color="auto"/>
        <w:bottom w:val="none" w:sz="0" w:space="0" w:color="auto"/>
        <w:right w:val="none" w:sz="0" w:space="0" w:color="auto"/>
      </w:divBdr>
    </w:div>
    <w:div w:id="207214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muyanja</dc:creator>
  <cp:lastModifiedBy>User</cp:lastModifiedBy>
  <cp:revision>2</cp:revision>
  <cp:lastPrinted>2018-03-05T13:47:00Z</cp:lastPrinted>
  <dcterms:created xsi:type="dcterms:W3CDTF">2018-03-15T08:56:00Z</dcterms:created>
  <dcterms:modified xsi:type="dcterms:W3CDTF">2018-03-15T08:56:00Z</dcterms:modified>
</cp:coreProperties>
</file>